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29"/>
        <w:ind w:firstLine="540"/>
        <w:jc w:val="both"/>
        <w:outlineLvl w:val="0"/>
      </w:pPr>
      <w:r>
        <w:rPr>
          <w:sz w:val="24"/>
        </w:rPr>
      </w:r>
      <w:r/>
    </w:p>
    <w:p>
      <w:pPr>
        <w:pStyle w:val="1029"/>
        <w:jc w:val="both"/>
      </w:pPr>
      <w:r>
        <w:rPr>
          <w:sz w:val="24"/>
        </w:rPr>
        <w:t xml:space="preserve">Зарегистрировано в Управлении Минюста России по УР 7 июля 2014 г. N RU18000201400438</w:t>
      </w:r>
      <w:r/>
    </w:p>
    <w:p>
      <w:pPr>
        <w:pStyle w:val="1029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29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029"/>
              <w:outlineLvl w:val="0"/>
            </w:pPr>
            <w:r>
              <w:rPr>
                <w:sz w:val="24"/>
              </w:rPr>
              <w:t xml:space="preserve">25 июня 2014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029"/>
              <w:jc w:val="right"/>
              <w:outlineLvl w:val="0"/>
            </w:pPr>
            <w:r>
              <w:rPr>
                <w:sz w:val="24"/>
              </w:rPr>
              <w:t xml:space="preserve">N 201</w:t>
            </w:r>
            <w:r/>
          </w:p>
        </w:tc>
      </w:tr>
    </w:tbl>
    <w:p>
      <w:pPr>
        <w:pStyle w:val="1029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>
        <w:rPr>
          <w:sz w:val="24"/>
        </w:rPr>
        <w:t xml:space="preserve">УКАЗ</w:t>
      </w:r>
      <w:r/>
    </w:p>
    <w:p>
      <w:pPr>
        <w:pStyle w:val="1031"/>
        <w:jc w:val="center"/>
      </w:pPr>
      <w:r>
        <w:rPr>
          <w:sz w:val="24"/>
        </w:rPr>
      </w:r>
      <w:r/>
    </w:p>
    <w:p>
      <w:pPr>
        <w:pStyle w:val="1031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1031"/>
        <w:jc w:val="center"/>
      </w:pPr>
      <w:r>
        <w:rPr>
          <w:sz w:val="24"/>
        </w:rPr>
      </w:r>
      <w:r/>
    </w:p>
    <w:p>
      <w:pPr>
        <w:pStyle w:val="1031"/>
        <w:jc w:val="center"/>
      </w:pPr>
      <w:r>
        <w:rPr>
          <w:sz w:val="24"/>
        </w:rPr>
        <w:t xml:space="preserve">ОБ УТВЕРЖДЕНИИ ЕДИНЫХ ТРЕБОВАНИЙ К РАЗМЕЩЕНИЮ И НАПОЛНЕНИЮ</w:t>
      </w:r>
      <w:r/>
    </w:p>
    <w:p>
      <w:pPr>
        <w:pStyle w:val="1031"/>
        <w:jc w:val="center"/>
      </w:pPr>
      <w:r>
        <w:rPr>
          <w:sz w:val="24"/>
        </w:rPr>
        <w:t xml:space="preserve">ПОДРАЗДЕЛОВ ОФИЦИАЛЬНОГО САЙТА ГЛАВЫ УДМУРТСКОЙ РЕСПУБЛИКИ</w:t>
      </w:r>
      <w:r/>
    </w:p>
    <w:p>
      <w:pPr>
        <w:pStyle w:val="1031"/>
        <w:jc w:val="center"/>
      </w:pPr>
      <w:r>
        <w:rPr>
          <w:sz w:val="24"/>
        </w:rPr>
        <w:t xml:space="preserve">И ПРАВИТЕЛЬСТВА УДМУРТСКОЙ РЕСПУБЛИКИ И ОФИЦИАЛЬНЫХ САЙТОВ</w:t>
      </w:r>
      <w:r/>
    </w:p>
    <w:p>
      <w:pPr>
        <w:pStyle w:val="1031"/>
        <w:jc w:val="center"/>
      </w:pPr>
      <w:r>
        <w:rPr>
          <w:sz w:val="24"/>
        </w:rPr>
        <w:t xml:space="preserve">ИСПОЛНИТЕЛЬНЫХ ОРГАНОВ УДМУРТСКОЙ РЕСПУБЛИКИ, ПОСВЯЩЕННЫХ</w:t>
      </w:r>
      <w:r/>
    </w:p>
    <w:p>
      <w:pPr>
        <w:pStyle w:val="1031"/>
        <w:jc w:val="center"/>
      </w:pPr>
      <w:r>
        <w:rPr>
          <w:sz w:val="24"/>
        </w:rPr>
        <w:t xml:space="preserve">ВОПРОСАМ ПРОТИВОДЕЙСТВИЯ КОРРУПЦИИ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06.12.2016 </w:t>
            </w:r>
            <w:r>
              <w:rPr>
                <w:color w:val="392c69"/>
                <w:sz w:val="24"/>
              </w:rPr>
              <w:t xml:space="preserve">N 248</w:t>
            </w:r>
            <w:r>
              <w:rPr>
                <w:color w:val="392c69"/>
                <w:sz w:val="24"/>
              </w:rPr>
              <w:t xml:space="preserve">, от 30.09.2019 </w:t>
            </w:r>
            <w:r>
              <w:rPr>
                <w:color w:val="392c69"/>
                <w:sz w:val="24"/>
              </w:rPr>
              <w:t xml:space="preserve">N 119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В целях обеспечения доступа граждан к информации о деятельности государственных органов Удмуртской Республики по вопросам противодействия коррупции, а также обеспечения единого подхода к организации и проведению ра</w:t>
      </w:r>
      <w:r>
        <w:rPr>
          <w:sz w:val="24"/>
        </w:rPr>
        <w:t xml:space="preserve">боты по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Удмуртской Республики, посвященных вопросам противодействия коррупции, постановляю:</w:t>
      </w:r>
      <w:r/>
    </w:p>
    <w:p>
      <w:pPr>
        <w:pStyle w:val="1029"/>
        <w:jc w:val="both"/>
      </w:pPr>
      <w:r>
        <w:rPr>
          <w:sz w:val="24"/>
        </w:rPr>
        <w:t xml:space="preserve">(в ред. Указов Главы УР от 06.12.2016 </w:t>
      </w:r>
      <w:r>
        <w:rPr>
          <w:sz w:val="24"/>
        </w:rPr>
        <w:t xml:space="preserve">N 248</w:t>
      </w:r>
      <w:r>
        <w:rPr>
          <w:sz w:val="24"/>
        </w:rPr>
        <w:t xml:space="preserve">, от 01.07.2024 </w:t>
      </w:r>
      <w:r>
        <w:rPr>
          <w:sz w:val="24"/>
        </w:rPr>
        <w:t xml:space="preserve">N 183</w:t>
      </w:r>
      <w:r>
        <w:rPr>
          <w:sz w:val="24"/>
        </w:rPr>
        <w:t xml:space="preserve">)</w:t>
      </w:r>
      <w:r/>
    </w:p>
    <w:p>
      <w:pPr>
        <w:pStyle w:val="1029"/>
        <w:ind w:firstLine="540"/>
        <w:jc w:val="both"/>
        <w:spacing w:before="240"/>
      </w:pPr>
      <w:r/>
      <w:bookmarkStart w:id="22" w:name="P22"/>
      <w:r/>
      <w:bookmarkEnd w:id="22"/>
      <w:r>
        <w:rPr>
          <w:sz w:val="24"/>
        </w:rPr>
        <w:t xml:space="preserve">1. Утвердить прилагаемые Единые </w:t>
      </w:r>
      <w:hyperlink w:tooltip="ЕДИНЫЕ ТРЕБОВАНИЯ" w:anchor="P48" w:history="1">
        <w:r>
          <w:rPr>
            <w:color w:val="0000ff"/>
            <w:sz w:val="24"/>
          </w:rPr>
          <w:t xml:space="preserve">требования</w:t>
        </w:r>
      </w:hyperlink>
      <w:r>
        <w:rPr>
          <w:sz w:val="24"/>
        </w:rPr>
        <w:t xml:space="preserve"> к размеще</w:t>
      </w:r>
      <w:r>
        <w:rPr>
          <w:sz w:val="24"/>
        </w:rPr>
        <w:t xml:space="preserve">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Удмуртской Республики, посвященных вопросам противодействия коррупции (далее - Единые требования).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2. Администрации Главы и Правительства Удмуртской Республики привести подраздел Официального сайта Главы Удмуртской Республики и Правительства Удмуртской Республики, посвященный вопросам противодействия коррупции, в соответствие с Едиными </w:t>
      </w:r>
      <w:hyperlink w:tooltip="ЕДИНЫЕ ТРЕБОВАНИЯ" w:anchor="P48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 в срок до 15 июля 2014 года.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3. Исполнительным органам Удмуртской Республики привести подразделы официальных сайтов исполнительных органов Удмуртской Республики, посвященные вопросам противодействия коррупции, в соответствие с Едиными </w:t>
      </w:r>
      <w:hyperlink w:tooltip="ЕДИНЫЕ ТРЕБОВАНИЯ" w:anchor="P48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 в срок до 15 июля 2014 года.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4. Рекомендовать государственным органам Удмуртской Республики, не предусмотренным </w:t>
      </w:r>
      <w:hyperlink w:tooltip="1. Утвердить прилагаемые Единые требования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Удмуртской Республики, посвященных вопросам противодействия коррупции (далее - Единые требования)." w:anchor="P22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 Указа, организовать работу по размещению и наполнению подразделов официальных сайтов государственных органов Удмуртской Республики, посвященных вопросам противодействия коррупции, в соответствии с Едиными </w:t>
      </w:r>
      <w:hyperlink w:tooltip="ЕДИНЫЕ ТРЕБОВАНИЯ" w:anchor="P48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5. Рекомендовать органам местного самоуправления муниципальных образований, образованных на тер</w:t>
      </w:r>
      <w:r>
        <w:rPr>
          <w:sz w:val="24"/>
        </w:rPr>
        <w:t xml:space="preserve">ритории Удмуртской Республики, организовать работу по размещению и наполнению подразделов официальных сайтов муниципальных образований и (или) сайтов органов местного самоуправления, посвященных вопросам противодействия коррупции, в соответствии с Едиными </w:t>
      </w:r>
      <w:hyperlink w:tooltip="ЕДИНЫЕ ТРЕБОВАНИЯ" w:anchor="P48" w:history="1">
        <w:r>
          <w:rPr>
            <w:color w:val="0000ff"/>
            <w:sz w:val="24"/>
          </w:rPr>
          <w:t xml:space="preserve">требованиями</w:t>
        </w:r>
      </w:hyperlink>
      <w:r>
        <w:rPr>
          <w:sz w:val="24"/>
        </w:rPr>
        <w:t xml:space="preserve">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6. Контроль за исполнением настоящего Указа возложить на Руководителя Администрации Главы и Правительства Удмуртской Республики.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</w:pPr>
      <w:r>
        <w:rPr>
          <w:sz w:val="24"/>
        </w:rPr>
        <w:t xml:space="preserve">Временно исполняющий обязанности</w:t>
      </w:r>
      <w:r/>
    </w:p>
    <w:p>
      <w:pPr>
        <w:pStyle w:val="1029"/>
        <w:jc w:val="right"/>
      </w:pPr>
      <w:r>
        <w:rPr>
          <w:sz w:val="24"/>
        </w:rPr>
        <w:t xml:space="preserve">Главы Удмуртской Республики</w:t>
      </w:r>
      <w:r/>
    </w:p>
    <w:p>
      <w:pPr>
        <w:pStyle w:val="1029"/>
        <w:jc w:val="right"/>
      </w:pPr>
      <w:r>
        <w:rPr>
          <w:sz w:val="24"/>
        </w:rPr>
        <w:t xml:space="preserve">А.В.СОЛОВЬЕВ</w:t>
      </w:r>
      <w:r/>
    </w:p>
    <w:p>
      <w:pPr>
        <w:pStyle w:val="1029"/>
      </w:pPr>
      <w:r>
        <w:rPr>
          <w:sz w:val="24"/>
        </w:rPr>
        <w:t xml:space="preserve">г. Ижевск</w:t>
      </w:r>
      <w:r/>
    </w:p>
    <w:p>
      <w:pPr>
        <w:pStyle w:val="1029"/>
        <w:spacing w:before="240"/>
      </w:pPr>
      <w:r>
        <w:rPr>
          <w:sz w:val="24"/>
        </w:rPr>
        <w:t xml:space="preserve">25 июня 2014 года</w:t>
      </w:r>
      <w:r/>
    </w:p>
    <w:p>
      <w:pPr>
        <w:pStyle w:val="1029"/>
        <w:spacing w:before="240"/>
      </w:pPr>
      <w:r>
        <w:rPr>
          <w:sz w:val="24"/>
        </w:rPr>
        <w:t xml:space="preserve">N 201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  <w:outlineLvl w:val="0"/>
      </w:pPr>
      <w:r>
        <w:rPr>
          <w:sz w:val="24"/>
        </w:rPr>
        <w:t xml:space="preserve">Утверждены</w:t>
      </w:r>
      <w:r/>
    </w:p>
    <w:p>
      <w:pPr>
        <w:pStyle w:val="1029"/>
        <w:jc w:val="right"/>
      </w:pPr>
      <w:r>
        <w:rPr>
          <w:sz w:val="24"/>
        </w:rPr>
        <w:t xml:space="preserve">Указом</w:t>
      </w:r>
      <w:r/>
    </w:p>
    <w:p>
      <w:pPr>
        <w:pStyle w:val="1029"/>
        <w:jc w:val="right"/>
      </w:pPr>
      <w:r>
        <w:rPr>
          <w:sz w:val="24"/>
        </w:rPr>
        <w:t xml:space="preserve">Главы</w:t>
      </w:r>
      <w:r/>
    </w:p>
    <w:p>
      <w:pPr>
        <w:pStyle w:val="1029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1029"/>
        <w:jc w:val="right"/>
      </w:pPr>
      <w:r>
        <w:rPr>
          <w:sz w:val="24"/>
        </w:rPr>
        <w:t xml:space="preserve">от 25 июня 2014 г. N 201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</w:pPr>
      <w:r/>
      <w:bookmarkStart w:id="48" w:name="P48"/>
      <w:r/>
      <w:bookmarkEnd w:id="48"/>
      <w:r>
        <w:rPr>
          <w:sz w:val="24"/>
        </w:rPr>
        <w:t xml:space="preserve">ЕДИНЫЕ ТРЕБОВАНИЯ</w:t>
      </w:r>
      <w:r/>
    </w:p>
    <w:p>
      <w:pPr>
        <w:pStyle w:val="1031"/>
        <w:jc w:val="center"/>
      </w:pPr>
      <w:r>
        <w:rPr>
          <w:sz w:val="24"/>
        </w:rPr>
        <w:t xml:space="preserve">К РАЗМЕЩЕНИЮ И НАПОЛНЕНИЮ ПОДРАЗДЕЛОВ ОФИЦИАЛЬНОГО САЙТА</w:t>
      </w:r>
      <w:r/>
    </w:p>
    <w:p>
      <w:pPr>
        <w:pStyle w:val="1031"/>
        <w:jc w:val="center"/>
      </w:pPr>
      <w:r>
        <w:rPr>
          <w:sz w:val="24"/>
        </w:rPr>
        <w:t xml:space="preserve">ГЛАВЫ УДМУРТСКОЙ РЕСПУБЛИКИ И ПРАВИТЕЛЬСТВА</w:t>
      </w:r>
      <w:r/>
    </w:p>
    <w:p>
      <w:pPr>
        <w:pStyle w:val="1031"/>
        <w:jc w:val="center"/>
      </w:pPr>
      <w:r>
        <w:rPr>
          <w:sz w:val="24"/>
        </w:rPr>
        <w:t xml:space="preserve">УДМУРТСКОЙ РЕСПУБЛИКИ И ОФИЦИАЛЬНЫХ САЙТОВ ИСПОЛНИТЕЛЬНЫХ</w:t>
      </w:r>
      <w:r/>
    </w:p>
    <w:p>
      <w:pPr>
        <w:pStyle w:val="1031"/>
        <w:jc w:val="center"/>
      </w:pPr>
      <w:r>
        <w:rPr>
          <w:sz w:val="24"/>
        </w:rPr>
        <w:t xml:space="preserve">ОРГАНОВ УДМУРТСКОЙ РЕСПУБЛИКИ, ПОСВЯЩЕННЫХ ВОПРОСАМ</w:t>
      </w:r>
      <w:r/>
    </w:p>
    <w:p>
      <w:pPr>
        <w:pStyle w:val="1031"/>
        <w:jc w:val="center"/>
      </w:pPr>
      <w:r>
        <w:rPr>
          <w:sz w:val="24"/>
        </w:rPr>
        <w:t xml:space="preserve">ПРОТИВОДЕЙСТВИЯ КОРРУПЦИИ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06.12.2016 </w:t>
            </w:r>
            <w:r>
              <w:rPr>
                <w:color w:val="392c69"/>
                <w:sz w:val="24"/>
              </w:rPr>
              <w:t xml:space="preserve">N 248</w:t>
            </w:r>
            <w:r>
              <w:rPr>
                <w:color w:val="392c69"/>
                <w:sz w:val="24"/>
              </w:rPr>
              <w:t xml:space="preserve">, от 30.09.2019 </w:t>
            </w:r>
            <w:r>
              <w:rPr>
                <w:color w:val="392c69"/>
                <w:sz w:val="24"/>
              </w:rPr>
              <w:t xml:space="preserve">N 119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I. Общие положения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1. На Официальном сайте Главы Удмуртской Республики и Правительства Удмуртской Республики, официал</w:t>
      </w:r>
      <w:r>
        <w:rPr>
          <w:sz w:val="24"/>
        </w:rPr>
        <w:t xml:space="preserve">ьных сайтах исполнительных органов Удмуртской Республики в информационно-телекоммуникационной сети "Интернет" (далее - сайт) должен быть создан подраздел с наименованием "Противодействие коррупции", который имеет соответствующие подразделы, включающие инфо</w:t>
      </w:r>
      <w:r>
        <w:rPr>
          <w:sz w:val="24"/>
        </w:rPr>
        <w:t xml:space="preserve">рмацию о работе, проводимой в сфере противодействия коррупции, соответственно Главой Удмуртской Республики, Администрацией Главы и Правительства Удмуртской Республики и исполнительным органом Удмуртской Республики (далее - совместно государственный орган).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2. Отдельная гиперссылка на подраздел "Противодействие коррупции" размещается на главной странице сайта. Размещение указанной гиперссылки в выпадающих окнах не допускается.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3. Доступ в </w:t>
      </w:r>
      <w:r>
        <w:rPr>
          <w:sz w:val="24"/>
        </w:rPr>
        <w:t xml:space="preserve">подраздел "Противодействие коррупции"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одного, в том числе на мобильной версии сайта.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4. При наполнении подраздела "Противодействие коррупции" информация, отнесенная к государственной тайне или являющаяся конфиденциальной, не размещается.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31"/>
        <w:jc w:val="center"/>
        <w:outlineLvl w:val="1"/>
      </w:pPr>
      <w:r>
        <w:rPr>
          <w:sz w:val="24"/>
        </w:rPr>
        <w:t xml:space="preserve">II. Требования к наполнению подраздела</w:t>
      </w:r>
      <w:r/>
    </w:p>
    <w:p>
      <w:pPr>
        <w:pStyle w:val="1031"/>
        <w:jc w:val="center"/>
      </w:pPr>
      <w:r>
        <w:rPr>
          <w:sz w:val="24"/>
        </w:rPr>
        <w:t xml:space="preserve">"Противодействие коррупции"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5. В подразделе "Противодействие коррупции" содержатся последовательные ссылки на следующие подразделы: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Нормативные правовые и иные акты в сфере противодействия коррупции;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антикоррупционная экспертиза;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методические материалы;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формы документов, связанных с противодействием коррупции, для заполнения;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сведения о доходах, расходах, об имуществе и обязательствах имущественного характера;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6) комиссия по соблюдению требований к служебному поведению и урегулированию конфликта интересов;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7) обратная связь для сообщений о фактах коррупции.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6. Подраздел "Противодействие коррупции" мо</w:t>
      </w:r>
      <w:r>
        <w:rPr>
          <w:sz w:val="24"/>
        </w:rPr>
        <w:t xml:space="preserve">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  <w:r/>
    </w:p>
    <w:p>
      <w:pPr>
        <w:pStyle w:val="1029"/>
        <w:ind w:firstLine="540"/>
        <w:jc w:val="both"/>
        <w:spacing w:before="240"/>
      </w:pPr>
      <w:r/>
      <w:bookmarkStart w:id="80" w:name="P80"/>
      <w:r/>
      <w:bookmarkEnd w:id="80"/>
      <w:r>
        <w:rPr>
          <w:sz w:val="24"/>
        </w:rPr>
        <w:t xml:space="preserve">7. Подраздел "Нормативные правовые и иные акты в сфере противодействия коррупции" содержит: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список гиперссылок действующих федеральных законов, указов Пр</w:t>
      </w:r>
      <w:r>
        <w:rPr>
          <w:sz w:val="24"/>
        </w:rPr>
        <w:t xml:space="preserve">езидента Российской Федерации, постановлений Правительства Российской Федерации и иных нормативных правовых актов Российской Федерации по вопросам противодействия коррупции для последовательного перехода на официальный интернет-портал правовой информации (</w:t>
      </w:r>
      <w:hyperlink r:id="rId16" w:tooltip="www.pravo.gov.ru" w:history="1">
        <w:r>
          <w:rPr>
            <w:color w:val="0000ff"/>
            <w:sz w:val="24"/>
          </w:rPr>
          <w:t xml:space="preserve">www.pravo.gov.ru</w:t>
        </w:r>
      </w:hyperlink>
      <w:r>
        <w:rPr>
          <w:sz w:val="24"/>
        </w:rPr>
        <w:t xml:space="preserve">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список гиперссылок действующих за</w:t>
      </w:r>
      <w:r>
        <w:rPr>
          <w:sz w:val="24"/>
        </w:rPr>
        <w:t xml:space="preserve">конов Удмуртской Республики, актов Главы Удмуртской Республики, актов Президента Удмуртской Республики, актов Правительства Удмуртской Республики и иных нормативных правовых актов Удмуртской Республики по вопросам противодействия коррупции с приложением фа</w:t>
      </w:r>
      <w:r>
        <w:rPr>
          <w:sz w:val="24"/>
        </w:rPr>
        <w:t xml:space="preserve">йлов, содержащих полный текст акта. Список гиперссылок должен быть структурирован по видам нормативных правовых актов: законы Удмуртской Республики, акты Главы Удмуртской Республики, акты Правительства Удмуртской Республики, иные нормативные правовые акты;</w:t>
      </w:r>
      <w:r/>
    </w:p>
    <w:p>
      <w:pPr>
        <w:pStyle w:val="1029"/>
        <w:jc w:val="both"/>
      </w:pPr>
      <w:r>
        <w:rPr>
          <w:sz w:val="24"/>
        </w:rPr>
        <w:t xml:space="preserve">(пп. 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список гиперссылок действующих правовых актов государственного органа по вопросам противодействия коррупции с приложением файлов, содержащих полный текст акта, включающий в себя: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а) план государственного органа по противодействию коррупции;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б) перечень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(далее - гра</w:t>
      </w:r>
      <w:r>
        <w:rPr>
          <w:sz w:val="24"/>
        </w:rPr>
        <w:t xml:space="preserve">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в) порядок представления сведений о доходах, расходах, об имуществе и обязательствах имущественного характера;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г) порядок уведомления гражданским служащим представителя нанимателя о фактах обращения в целях склонения гражданского служащего к совершению коррупционных правонарушений;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д) положение о подразделении по профилактике коррупционных или иных правонарушений (при наличии его в государственном органе);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е) порядок сообщения о получении лицами, замещающими государственные должности Удмуртской Республики, </w:t>
      </w:r>
      <w:r>
        <w:rPr>
          <w:sz w:val="24"/>
        </w:rPr>
        <w:t xml:space="preserve">гражданскими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ж) перечень должностей, при замещении которых граждан</w:t>
      </w:r>
      <w:r>
        <w:rPr>
          <w:sz w:val="24"/>
        </w:rPr>
        <w:t xml:space="preserve">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з) </w:t>
      </w:r>
      <w:r>
        <w:rPr>
          <w:sz w:val="24"/>
        </w:rPr>
        <w:t xml:space="preserve">Кодекс</w:t>
      </w:r>
      <w:r>
        <w:rPr>
          <w:sz w:val="24"/>
        </w:rPr>
        <w:t xml:space="preserve"> этики и служебн</w:t>
      </w:r>
      <w:r>
        <w:rPr>
          <w:sz w:val="24"/>
        </w:rPr>
        <w:t xml:space="preserve">ого поведения государственных гражданских служащих Удмуртской Республики, утвержденный Указом Президента Удмуртской Республики от 15 февраля 2011 года N 22 "О Кодексе этики и служебного поведения государственных гражданских служащих Удмуртской Республики";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и) иные правовые акты по вопросам противодействия коррупции, размещение которых будет признано целесообразным руководителем государственного органа.</w:t>
      </w:r>
      <w:r/>
    </w:p>
    <w:p>
      <w:pPr>
        <w:pStyle w:val="1029"/>
        <w:jc w:val="both"/>
      </w:pPr>
      <w:r>
        <w:rPr>
          <w:sz w:val="24"/>
        </w:rPr>
        <w:t xml:space="preserve">(пп. 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8. Нормативные правовые и иные акты в сфере противодействия коррупции (далее - нормативные правовые и иные акты), предусмотренные </w:t>
      </w:r>
      <w:hyperlink w:tooltip="7. Подраздел &quot;Нормативные правовые и иные акты в сфере противодействия коррупции&quot; содержит:" w:anchor="P80" w:history="1">
        <w:r>
          <w:rPr>
            <w:color w:val="0000ff"/>
            <w:sz w:val="24"/>
          </w:rPr>
          <w:t xml:space="preserve">пунктом 7</w:t>
        </w:r>
      </w:hyperlink>
      <w:r>
        <w:rPr>
          <w:sz w:val="24"/>
        </w:rPr>
        <w:t xml:space="preserve"> настоящих требований, размещаются в виде текста в формате (в одном или нескольких из следующих форматов: .DOC, .DOCX, .RTF, .PDF), обеспечивающем в</w:t>
      </w:r>
      <w:r>
        <w:rPr>
          <w:sz w:val="24"/>
        </w:rPr>
        <w:t xml:space="preserve">озможность поиска и копирования фрагментов текста средствами веб-обозревателя ("гипертекстовый формат"). Нормативные правовые и иные акты могут дополнительно размещаться в графическом формате в виде графических образов их оригиналов ("графический формат").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Размещение нормативных правовых и иных актов в иных форматах, а также в виде сканированных документов, требующих дополнительного распознавания, не допускается.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Ги</w:t>
      </w:r>
      <w:r>
        <w:rPr>
          <w:sz w:val="24"/>
        </w:rPr>
        <w:t xml:space="preserve">перссылки нормативных правовых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Министерстве юстиции Российской Федерации (при наличии).</w:t>
      </w:r>
      <w:r/>
    </w:p>
    <w:p>
      <w:pPr>
        <w:pStyle w:val="1029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Нормативные правовые и иные акты должны размещаться в действующей редакции.</w:t>
      </w:r>
      <w:r/>
    </w:p>
    <w:p>
      <w:pPr>
        <w:pStyle w:val="1029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9. Подраздел "Антикоррупционная экспертиза" должен содержать следующую информацию: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обобщенную информ</w:t>
      </w:r>
      <w:r>
        <w:rPr>
          <w:sz w:val="24"/>
        </w:rPr>
        <w:t xml:space="preserve">ацию о проведении за отчетный период (полугодие и год нарастающим итогом) государственным органом антикоррупционной экспертизы нормативных правовых актов и их проектов, в том числе проектов нормативных правовых актов, разработанных государственным органом;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инфо</w:t>
      </w:r>
      <w:r>
        <w:rPr>
          <w:sz w:val="24"/>
        </w:rPr>
        <w:t xml:space="preserve">рмацию о проведении за отчетный период (год) в отношении нормативных правовых актов и их проектов, размещенных на сайте государственного органа, независимой антикоррупционной экспертизы с указанием результатов рассмотрения заключений независимых экспертов.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Подраздел, предусмотренный настоя</w:t>
      </w:r>
      <w:r>
        <w:rPr>
          <w:sz w:val="24"/>
        </w:rPr>
        <w:t xml:space="preserve">щим пунктом, также должен содержать гиперссылку, которая является перекрестной с разделом (подразделом), созданным для размещения информации о подготовке государственным органом проектов нормативных правовых актов и результатах их общественного обсуждения.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/>
      <w:bookmarkStart w:id="107" w:name="P107"/>
      <w:r/>
      <w:bookmarkEnd w:id="107"/>
      <w:r>
        <w:rPr>
          <w:sz w:val="24"/>
        </w:rPr>
        <w:t xml:space="preserve">10. Подраздел "Методические материалы" содержит ме</w:t>
      </w:r>
      <w:r>
        <w:rPr>
          <w:sz w:val="24"/>
        </w:rPr>
        <w:t xml:space="preserve">тодические рекомендации, обзоры, письма, иные документы методического характера по вопросам противодействия коррупции как самостоятельно разработанные государственным органом, так и подготовленные Администрацией Главы и Правительства Удмуртской Республики.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В подразделе, предусмотренном настоящим пунктом, также могут быть размещены методические материалы, одобренные президиумом Совета при Президенте Российской Федераци</w:t>
      </w:r>
      <w:r>
        <w:rPr>
          <w:sz w:val="24"/>
        </w:rPr>
        <w:t xml:space="preserve">и по противодействию коррупции, методические рекомендации, обзоры, разъяснения и иные документы, подготовленные Министерством труда и социальной защиты Российской Федерации, размещенные на сайте Министерства труда и социальной защиты Российской Федерации (</w:t>
      </w:r>
      <w:hyperlink r:id="rId17" w:tooltip="https://rosmintrud.ru/ministry/programms/anticorruption" w:history="1">
        <w:r>
          <w:rPr>
            <w:color w:val="0000ff"/>
            <w:sz w:val="24"/>
          </w:rPr>
          <w:t xml:space="preserve">https://rosmintrud.ru/ministry/programms/anticorruption</w:t>
        </w:r>
      </w:hyperlink>
      <w:r>
        <w:rPr>
          <w:sz w:val="24"/>
        </w:rPr>
        <w:t xml:space="preserve">), а также на специализиров</w:t>
      </w:r>
      <w:r>
        <w:rPr>
          <w:sz w:val="24"/>
        </w:rPr>
        <w:t xml:space="preserve">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</w:t>
      </w:r>
      <w:hyperlink r:id="rId18" w:tooltip="https://gossluzhba.gov.ru/anticorruption" w:history="1">
        <w:r>
          <w:rPr>
            <w:color w:val="0000ff"/>
            <w:sz w:val="24"/>
          </w:rPr>
          <w:t xml:space="preserve">https://gossluzhba.gov.ru/anticorruption</w:t>
        </w:r>
      </w:hyperlink>
      <w:r>
        <w:rPr>
          <w:sz w:val="24"/>
        </w:rPr>
        <w:t xml:space="preserve">).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11. Методические рекомендации, обзоры, письма, иные документы методического характера по вопросам противодействия коррупции, предусмотренные </w:t>
      </w:r>
      <w:hyperlink w:tooltip="10. Подраздел &quot;Методические материалы&quot; содержит методические рекомендации, обзоры, письма, иные документы методического характера по вопросам противодействия коррупции как самостоятельно разработанные государственным органом, так и подготовленные Администрацией Главы и Правительства Удмуртской Республики." w:anchor="P107" w:history="1">
        <w:r>
          <w:rPr>
            <w:color w:val="0000ff"/>
            <w:sz w:val="24"/>
          </w:rPr>
          <w:t xml:space="preserve">пунктом 10</w:t>
        </w:r>
      </w:hyperlink>
      <w:r>
        <w:rPr>
          <w:sz w:val="24"/>
        </w:rPr>
        <w:t xml:space="preserve"> настоящих требований, размещаются в виде текста в формате (в одном или нескольких из следующих форматов: .DOC, .DOCX, .RTF, .PDF,.PPT</w:t>
      </w:r>
      <w:r>
        <w:rPr>
          <w:sz w:val="24"/>
        </w:rPr>
        <w:t xml:space="preserve">, .PPTX),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/>
      <w:bookmarkStart w:id="112" w:name="P112"/>
      <w:r/>
      <w:bookmarkEnd w:id="112"/>
      <w:r>
        <w:rPr>
          <w:sz w:val="24"/>
        </w:rPr>
        <w:t xml:space="preserve">12. Подраздел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заявлений, справки о доходах, расходах, об имуществе и обязательств</w:t>
      </w:r>
      <w:r>
        <w:rPr>
          <w:sz w:val="24"/>
        </w:rPr>
        <w:t xml:space="preserve">ах имущественного характера, заполняемых гражданами, лицами, замещающими государственные должности Удмуртской Республики, гражданскими служащими в рамках реализации законодательства о противодействии коррупции, включающих в себя формы следующих документов: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обращение гражданина, юридического лица по фактам коррупционных правонарушений;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уведомление гражданским служащим представителя нанимателя о намерении выполнять иную оплачиваемую работу;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обращение гражданина, замещавшего в государственном органе должность государственной службы, включенную в </w:t>
      </w:r>
      <w:r>
        <w:rPr>
          <w:sz w:val="24"/>
        </w:rPr>
        <w:t xml:space="preserve">Перечень</w:t>
      </w:r>
      <w:r>
        <w:rPr>
          <w:sz w:val="24"/>
        </w:rPr>
        <w:t xml:space="preserve"> должностей государственной гражд</w:t>
      </w:r>
      <w:r>
        <w:rPr>
          <w:sz w:val="24"/>
        </w:rPr>
        <w:t xml:space="preserve">анской службы Удмуртской Республики, при замещении которых на гражданина после увольнения с государственной гражданской службы Удмуртской Республики налагаются ограничения при заключении трудового или гражданско-правового договора, установленные частью 3.1</w:t>
      </w:r>
      <w:r>
        <w:rPr>
          <w:sz w:val="24"/>
        </w:rPr>
        <w:t xml:space="preserve"> статьи 17 Федерального закона от 27 июля 2004 года N 79-ФЗ "О государственной гражданской службе Российской Федерации" и статьей 12 Федерального закона от 25 декабря 2008 года N 273-ФЗ "О противодействии коррупции", утвержденный Указом Главы Удмуртской Ре</w:t>
      </w:r>
      <w:r>
        <w:rPr>
          <w:sz w:val="24"/>
        </w:rPr>
        <w:t xml:space="preserve">спублики от 28 мая 2020 года N 120 "О перечне должностей государственной гражданской службы Удмуртской Республики, при замещении которых на гражданина после увольнения с государственной гражданской службы Удмуртской Республики налагаются ограничения при за</w:t>
      </w:r>
      <w:r>
        <w:rPr>
          <w:sz w:val="24"/>
        </w:rPr>
        <w:t xml:space="preserve">ключении трудового или гражданско-правового договора, и о внесении изменений в некоторые акты Главы Удмуртской Республики", о даче согласия на замещение должности в коммерческой или некоммерческой организации либо на выполнение работы на условиях гражданск</w:t>
      </w:r>
      <w:r>
        <w:rPr>
          <w:sz w:val="24"/>
        </w:rPr>
        <w:t xml:space="preserve">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r/>
    </w:p>
    <w:p>
      <w:pPr>
        <w:pStyle w:val="1029"/>
        <w:jc w:val="both"/>
      </w:pPr>
      <w:r>
        <w:rPr>
          <w:sz w:val="24"/>
        </w:rPr>
        <w:t xml:space="preserve">(пп. 4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01.03.2021 N 52)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6) уведомление гражданского служащего о получении подарка в связи с должностным положением или исполнением им служебных (должностных) обязанностей;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7) заявление гражданского служащего о выкупе подарка, полученного в связи с должностным положением или исполнением им служебных (должностных) обязанностей;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8) уведомление гражданским служащим представителя нанимателя и своего непосредственного начальника о возникшем конфликте интересов или о возможности его возникновения;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9) справка о доходах, расходах, об имуществе и обязательствах имущественного характера;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10) иные формы документов, связанные с противодействием коррупции, для заполнения, размещение которых будет признано целесообразным руководителем государственного органа.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(</w:t>
      </w:r>
      <w:hyperlink r:id="rId19" w:tooltip="http://www.kremlin.ru/structure/additional/12" w:history="1">
        <w:r>
          <w:rPr>
            <w:color w:val="0000ff"/>
            <w:sz w:val="24"/>
          </w:rPr>
          <w:t xml:space="preserve">http://www.kremlin.ru/structure/additional/12</w:t>
        </w:r>
      </w:hyperlink>
      <w:r>
        <w:rPr>
          <w:sz w:val="24"/>
        </w:rPr>
        <w:t xml:space="preserve">)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 (</w:t>
      </w:r>
      <w:hyperlink r:id="rId20" w:tooltip="https://gossluzhba.gov.ru/page/index/spravki_bk" w:history="1">
        <w:r>
          <w:rPr>
            <w:color w:val="0000ff"/>
            <w:sz w:val="24"/>
          </w:rPr>
          <w:t xml:space="preserve">https://gossluzhba.gov.ru/page/index/spravki_bk</w:t>
        </w:r>
      </w:hyperlink>
      <w:r>
        <w:rPr>
          <w:sz w:val="24"/>
        </w:rPr>
        <w:t xml:space="preserve">).</w:t>
      </w:r>
      <w:r/>
    </w:p>
    <w:p>
      <w:pPr>
        <w:pStyle w:val="1029"/>
        <w:jc w:val="both"/>
      </w:pPr>
      <w:r>
        <w:rPr>
          <w:sz w:val="24"/>
        </w:rPr>
        <w:t xml:space="preserve">(п. 12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13. Формы документов, связанных с противодействием коррупции, предусмотренные </w:t>
      </w:r>
      <w:hyperlink w:tooltip="12. Подраздел &quot;Формы документов, связанных с противодействием коррупции, для заполнения&quot; обеспечивает доступ к списку гиперссылок форм обращений, уведомлений, заявлений, справки о доходах, расходах, об имуществе и обязательствах имущественного характера, заполняемых гражданами, лицами, замещающими государственные должности Удмуртской Республики, гражданскими служащими в рамках реализации законодательства о противодействии коррупции, включающих в себя формы следующих документов:" w:anchor="P112" w:history="1">
        <w:r>
          <w:rPr>
            <w:color w:val="0000ff"/>
            <w:sz w:val="24"/>
          </w:rPr>
          <w:t xml:space="preserve">пунктом 12</w:t>
        </w:r>
      </w:hyperlink>
      <w:r>
        <w:rPr>
          <w:sz w:val="24"/>
        </w:rPr>
        <w:t xml:space="preserve"> настоящих требований,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</w:t>
      </w:r>
      <w:r>
        <w:rPr>
          <w:sz w:val="24"/>
        </w:rPr>
        <w:t xml:space="preserve">тов: .DOC, .DOCX, .RTF, .PDF,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  <w:r/>
    </w:p>
    <w:p>
      <w:pPr>
        <w:pStyle w:val="1029"/>
        <w:jc w:val="both"/>
      </w:pPr>
      <w:r>
        <w:rPr>
          <w:sz w:val="24"/>
        </w:rPr>
        <w:t xml:space="preserve">(п. 13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14. 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характера, предусмотренных </w:t>
      </w:r>
      <w:r>
        <w:rPr>
          <w:sz w:val="24"/>
        </w:rPr>
        <w:t xml:space="preserve">пунктом 2</w:t>
      </w:r>
      <w:r>
        <w:rPr>
          <w:sz w:val="24"/>
        </w:rPr>
        <w:t xml:space="preserve"> Порядка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</w:t>
      </w:r>
      <w:r>
        <w:rPr>
          <w:sz w:val="24"/>
        </w:rPr>
        <w:t xml:space="preserve">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опубликования, утвержденного Указом Главы Удмуртской Республики от 25 сентября 2014 года N 311.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06.12.2016 N 248)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15.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без ограничения доступа к ним третьих лиц;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в табличной форме согласно </w:t>
      </w:r>
      <w:hyperlink w:tooltip="Сведения" w:anchor="P182" w:history="1">
        <w:r>
          <w:rPr>
            <w:color w:val="0000ff"/>
            <w:sz w:val="24"/>
          </w:rPr>
          <w:t xml:space="preserve">приложению</w:t>
        </w:r>
      </w:hyperlink>
      <w:r>
        <w:rPr>
          <w:sz w:val="24"/>
        </w:rPr>
        <w:t xml:space="preserve"> к настоящим требованиям в гипертекстовом формате и (или) в виде приложенных файлов в одном или нескольких из следующих форматов: .</w:t>
      </w:r>
      <w:r>
        <w:rPr>
          <w:sz w:val="24"/>
        </w:rPr>
        <w:t xml:space="preserve">DOC, .DOCX, .XLS, .XLSX, .RTF. При этом должна быть обеспечена возможность поиска по тексту файла и копирования фрагментов текста. Размещение в иных форматах, а также в виде сканированных документов, требующих дополнительного распознавания, не допускается;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в одном (едином) файле в виде таблицы либо в виде файлов, сгруппированных по самостоятельным структурным подразделениям (управлениям, отделам).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16. Сведения о доходах, расходах, об имуществе и обязательствах имущественного характера за весь период замещения лицом государственной должности</w:t>
      </w:r>
      <w:r>
        <w:rPr>
          <w:sz w:val="24"/>
        </w:rPr>
        <w:t xml:space="preserve"> Удмуртской Республики, замещения гражданским служащим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</w:t>
      </w:r>
      <w:r>
        <w:rPr>
          <w:sz w:val="24"/>
        </w:rPr>
        <w:t xml:space="preserve">язательствах имущественного характера их супругов (супруг) и несовершеннолетних детей, находятся на официальном сайте государственного органа, в котором лицо замещает государственную должность Удмуртской Республики, гражданский служащий замещает должность.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Размещенные на сайтах сведения о доходах, расходах, об имуществе и обязательствах имущественного характера, в том числе за предшествующие годы, не подлежат удалению и находятся в открытом доступе.</w:t>
      </w:r>
      <w:r/>
    </w:p>
    <w:p>
      <w:pPr>
        <w:pStyle w:val="1029"/>
        <w:jc w:val="both"/>
      </w:pPr>
      <w:r>
        <w:rPr>
          <w:sz w:val="24"/>
        </w:rPr>
        <w:t xml:space="preserve">(п. 16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16.1. В случае если в соответствии с </w:t>
      </w:r>
      <w:r>
        <w:rPr>
          <w:sz w:val="24"/>
        </w:rPr>
        <w:t xml:space="preserve">Порядком</w:t>
      </w:r>
      <w:r>
        <w:rPr>
          <w:sz w:val="24"/>
        </w:rP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</w:t>
      </w:r>
      <w:r>
        <w:rPr>
          <w:sz w:val="24"/>
        </w:rPr>
        <w:t xml:space="preserve">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опубликования, утвержденным Указом Главы Удмуртской Республики от 25 сентября 20</w:t>
      </w:r>
      <w:r>
        <w:rPr>
          <w:sz w:val="24"/>
        </w:rPr>
        <w:t xml:space="preserve">14 года N 311 "О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</w:t>
      </w:r>
      <w:r>
        <w:rPr>
          <w:sz w:val="24"/>
        </w:rPr>
        <w:t xml:space="preserve">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опубликования", сведения о доходах, расходах, имуществе и обязательствах имуществен</w:t>
      </w:r>
      <w:r>
        <w:rPr>
          <w:sz w:val="24"/>
        </w:rPr>
        <w:t xml:space="preserve">ного характера лица, замещающего государственную должность Удмуртской Республики, гражданского служащего размещаются на сайте другого государственного органа, то на сайте государственного органа, в котором лицо замещает государственную должность Удмуртской</w:t>
      </w:r>
      <w:r>
        <w:rPr>
          <w:sz w:val="24"/>
        </w:rPr>
        <w:t xml:space="preserve"> Республики, гражданский служащий замещает должность, располагается гиперссылка, обеспечивающая доступ к подразделу "Сведения о доходах, расходах, об имуществе и обязательствах имущественного характера" соответствующего сайта, где такие сведения размещены.</w:t>
      </w:r>
      <w:r/>
    </w:p>
    <w:p>
      <w:pPr>
        <w:pStyle w:val="1029"/>
        <w:jc w:val="both"/>
      </w:pPr>
      <w:r>
        <w:rPr>
          <w:sz w:val="24"/>
        </w:rPr>
        <w:t xml:space="preserve">(п. 16.1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16.2. При представлении лицом, замещающим государственную должность Удмуртской Республики, гражданским служащим уточненных сведений о доходах, об имуществе и обязательствах имущественного </w:t>
      </w:r>
      <w:r>
        <w:rPr>
          <w:sz w:val="24"/>
        </w:rPr>
        <w:t xml:space="preserve">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  <w:r/>
    </w:p>
    <w:p>
      <w:pPr>
        <w:pStyle w:val="1029"/>
        <w:jc w:val="both"/>
      </w:pPr>
      <w:r>
        <w:rPr>
          <w:sz w:val="24"/>
        </w:rPr>
        <w:t xml:space="preserve">(п. 16.2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16.3. Не допускается: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а) размещение на сайтах заархивированных сведений (форматы .rar, .zip), сканированных документов;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в) использование на сайтах форматов, требующих дополнительного распознавания;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г) установление кодов безопасности для доступа к сведениям о доходах, расходах, об имуществе и обязательствах имущественного характера;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д) запрашивание фамилии и инициалов лица, </w:t>
      </w:r>
      <w:r>
        <w:rPr>
          <w:sz w:val="24"/>
        </w:rPr>
        <w:t xml:space="preserve">замещающего государственную должность Удмуртской Республики, фамилии и инициалов, должности гражданского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  <w:r/>
    </w:p>
    <w:p>
      <w:pPr>
        <w:pStyle w:val="1029"/>
        <w:jc w:val="both"/>
      </w:pPr>
      <w:r>
        <w:rPr>
          <w:sz w:val="24"/>
        </w:rPr>
        <w:t xml:space="preserve">(п. 16.3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17. Подраздел "Комиссия по соблюдению требований к служебному поведению и урегулированию конфликта интересов" обеспеч</w:t>
      </w:r>
      <w:r>
        <w:rPr>
          <w:sz w:val="24"/>
        </w:rPr>
        <w:t xml:space="preserve">ивает доступ к информации о деятельности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государственного органа (далее - комиссия), включающей в себя: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состав комиссии;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положение о комиссии;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3) утратил силу с 30 сентября 2019 года.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30.09.2019 N 119;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4) информацию о проведенных заседаниях комиссии и о принятых комиссией решениях;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5) утратил силу с 30 сентября 2019 года. - </w:t>
      </w:r>
      <w:r>
        <w:rPr>
          <w:sz w:val="24"/>
        </w:rPr>
        <w:t xml:space="preserve">Указ</w:t>
      </w:r>
      <w:r>
        <w:rPr>
          <w:sz w:val="24"/>
        </w:rPr>
        <w:t xml:space="preserve"> Главы УР от 30.09.2019 N 119.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18. Сведения о де</w:t>
      </w:r>
      <w:r>
        <w:rPr>
          <w:sz w:val="24"/>
        </w:rPr>
        <w:t xml:space="preserve">ятельности комиссии должны размещаться в виде приложенного файла в одном или нескольких из следующих форматов: .DOC, .DOCX, .RTF, .PDF, обеспечивающем возможность поиска и копирования фрагментов текста средствами веб-обозревателя ("гипертекстовый формат").</w:t>
      </w:r>
      <w:r/>
    </w:p>
    <w:p>
      <w:pPr>
        <w:pStyle w:val="1029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30.09.2019 N 119)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При размещении сведений о принятых комиссией решениях указывается информация о расс</w:t>
      </w:r>
      <w:r>
        <w:rPr>
          <w:sz w:val="24"/>
        </w:rPr>
        <w:t xml:space="preserve">мотренных на заседаниях вопросах (осуществление в государственном органе мер по предупреждению коррупции, о нарушении гражданским служащим требований к служебному поведению, причины непредставления гражданским служащим сведений о доходах, об имуществе и об</w:t>
      </w:r>
      <w:r>
        <w:rPr>
          <w:sz w:val="24"/>
        </w:rPr>
        <w:t xml:space="preserve">язательствах имущественного характера супруги (супруга) и несовершеннолетних детей, заявление гражданского служащего о работе в иной организации и т.д.), при этом опубликование принятых комиссией решений осуществляется с обезличиванием персональных данных.</w:t>
      </w:r>
      <w:r/>
    </w:p>
    <w:p>
      <w:pPr>
        <w:pStyle w:val="1029"/>
        <w:ind w:firstLine="540"/>
        <w:jc w:val="both"/>
        <w:spacing w:before="240"/>
      </w:pPr>
      <w:r/>
      <w:bookmarkStart w:id="159" w:name="P159"/>
      <w:r/>
      <w:bookmarkEnd w:id="159"/>
      <w:r>
        <w:rPr>
          <w:sz w:val="24"/>
        </w:rPr>
        <w:t xml:space="preserve">19. Подраздел "Обратная связь для сообщений о фактах коррупции" содержит гиперссылку, перекрестную с гиперссылкой, при переходе по которой осуществляется доступ к подразделу "Обращения граждан", включающему в том числе информацию: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1) о правовом акте государственного органа, регламентирующем порядок рассмотрения обращений граждан;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2) о спос</w:t>
      </w:r>
      <w:r>
        <w:rPr>
          <w:sz w:val="24"/>
        </w:rPr>
        <w:t xml:space="preserve">обах для граждан и юридических лиц беспрепятственно направлять свои обращения в государственный орган (информация о работе "горячей линии", "телефона доверия", отправке почтовых сообщений, форма направления сообщений гражданами и организациями через сайт).</w:t>
      </w:r>
      <w:r/>
    </w:p>
    <w:p>
      <w:pPr>
        <w:pStyle w:val="1029"/>
        <w:ind w:firstLine="540"/>
        <w:jc w:val="both"/>
        <w:spacing w:before="240"/>
      </w:pPr>
      <w:r>
        <w:rPr>
          <w:sz w:val="24"/>
        </w:rPr>
        <w:t xml:space="preserve">20. В подразделе, предусмотренном </w:t>
      </w:r>
      <w:hyperlink w:tooltip="19. Подраздел &quot;Обратная связь для сообщений о фактах коррупции&quot; содержит гиперссылку, перекрестную с гиперссылкой, при переходе по которой осуществляется доступ к подразделу &quot;Обращения граждан&quot;, включающему в том числе информацию:" w:anchor="P159" w:history="1">
        <w:r>
          <w:rPr>
            <w:color w:val="0000ff"/>
            <w:sz w:val="24"/>
          </w:rPr>
          <w:t xml:space="preserve">пунктом 19</w:t>
        </w:r>
      </w:hyperlink>
      <w:r>
        <w:rPr>
          <w:sz w:val="24"/>
        </w:rPr>
        <w:t xml:space="preserve"> настоящих требований, должны указываться контактные данные ответственного лица за работу по профилактике коррупционных и иных правонарушений в государственном органе (номер служебного телефона, факса и адрес электронной почты).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right"/>
        <w:outlineLvl w:val="1"/>
      </w:pPr>
      <w:r>
        <w:rPr>
          <w:sz w:val="24"/>
        </w:rPr>
        <w:t xml:space="preserve">Приложение</w:t>
      </w:r>
      <w:r/>
    </w:p>
    <w:p>
      <w:pPr>
        <w:pStyle w:val="1029"/>
        <w:jc w:val="right"/>
      </w:pPr>
      <w:r>
        <w:rPr>
          <w:sz w:val="24"/>
        </w:rPr>
        <w:t xml:space="preserve">к Единым требованиям</w:t>
      </w:r>
      <w:r/>
    </w:p>
    <w:p>
      <w:pPr>
        <w:pStyle w:val="1029"/>
        <w:jc w:val="right"/>
      </w:pPr>
      <w:r>
        <w:rPr>
          <w:sz w:val="24"/>
        </w:rPr>
        <w:t xml:space="preserve">к размещению и наполнению</w:t>
      </w:r>
      <w:r/>
    </w:p>
    <w:p>
      <w:pPr>
        <w:pStyle w:val="1029"/>
        <w:jc w:val="right"/>
      </w:pPr>
      <w:r>
        <w:rPr>
          <w:sz w:val="24"/>
        </w:rPr>
        <w:t xml:space="preserve">подразделов Официального сайта</w:t>
      </w:r>
      <w:r/>
    </w:p>
    <w:p>
      <w:pPr>
        <w:pStyle w:val="1029"/>
        <w:jc w:val="right"/>
      </w:pPr>
      <w:r>
        <w:rPr>
          <w:sz w:val="24"/>
        </w:rPr>
        <w:t xml:space="preserve">Главы Удмуртской Республики</w:t>
      </w:r>
      <w:r/>
    </w:p>
    <w:p>
      <w:pPr>
        <w:pStyle w:val="1029"/>
        <w:jc w:val="right"/>
      </w:pPr>
      <w:r>
        <w:rPr>
          <w:sz w:val="24"/>
        </w:rPr>
        <w:t xml:space="preserve">и Правительства Удмуртской Республики</w:t>
      </w:r>
      <w:r/>
    </w:p>
    <w:p>
      <w:pPr>
        <w:pStyle w:val="1029"/>
        <w:jc w:val="right"/>
      </w:pPr>
      <w:r>
        <w:rPr>
          <w:sz w:val="24"/>
        </w:rPr>
        <w:t xml:space="preserve">и официальных сайтов исполнительных</w:t>
      </w:r>
      <w:r/>
    </w:p>
    <w:p>
      <w:pPr>
        <w:pStyle w:val="1029"/>
        <w:jc w:val="right"/>
      </w:pPr>
      <w:r>
        <w:rPr>
          <w:sz w:val="24"/>
        </w:rPr>
        <w:t xml:space="preserve">органов Удмуртской Республики,</w:t>
      </w:r>
      <w:r/>
    </w:p>
    <w:p>
      <w:pPr>
        <w:pStyle w:val="1029"/>
        <w:jc w:val="right"/>
      </w:pPr>
      <w:r>
        <w:rPr>
          <w:sz w:val="24"/>
        </w:rPr>
        <w:t xml:space="preserve">посвященных вопросам</w:t>
      </w:r>
      <w:r/>
    </w:p>
    <w:p>
      <w:pPr>
        <w:pStyle w:val="1029"/>
        <w:jc w:val="right"/>
      </w:pPr>
      <w:r>
        <w:rPr>
          <w:sz w:val="24"/>
        </w:rPr>
        <w:t xml:space="preserve">противодействия коррупции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06.12.2016 </w:t>
            </w:r>
            <w:r>
              <w:rPr>
                <w:color w:val="392c69"/>
                <w:sz w:val="24"/>
              </w:rPr>
              <w:t xml:space="preserve">N 248</w:t>
            </w:r>
            <w:r>
              <w:rPr>
                <w:color w:val="392c69"/>
                <w:sz w:val="24"/>
              </w:rPr>
              <w:t xml:space="preserve">, от 01.03.2021 </w:t>
            </w:r>
            <w:r>
              <w:rPr>
                <w:color w:val="392c69"/>
                <w:sz w:val="24"/>
              </w:rPr>
              <w:t xml:space="preserve">N 52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029"/>
              <w:jc w:val="center"/>
            </w:pPr>
            <w:r>
              <w:rPr>
                <w:color w:val="392c69"/>
                <w:sz w:val="24"/>
              </w:rPr>
              <w:t xml:space="preserve">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center"/>
      </w:pPr>
      <w:r/>
      <w:bookmarkStart w:id="182" w:name="P182"/>
      <w:r/>
      <w:bookmarkEnd w:id="182"/>
      <w:r>
        <w:rPr>
          <w:sz w:val="24"/>
        </w:rPr>
        <w:t xml:space="preserve">Сведения</w:t>
      </w:r>
      <w:r/>
    </w:p>
    <w:p>
      <w:pPr>
        <w:pStyle w:val="1029"/>
        <w:jc w:val="center"/>
      </w:pPr>
      <w:r>
        <w:rPr>
          <w:sz w:val="24"/>
        </w:rPr>
        <w:t xml:space="preserve">о доходах, расходах, об имуществе и обязательствах</w:t>
      </w:r>
      <w:r/>
    </w:p>
    <w:p>
      <w:pPr>
        <w:pStyle w:val="1029"/>
        <w:jc w:val="center"/>
      </w:pPr>
      <w:r>
        <w:rPr>
          <w:sz w:val="24"/>
        </w:rPr>
        <w:t xml:space="preserve">имущественного характера за период</w:t>
      </w:r>
      <w:r/>
    </w:p>
    <w:p>
      <w:pPr>
        <w:pStyle w:val="1029"/>
        <w:jc w:val="center"/>
      </w:pPr>
      <w:r>
        <w:rPr>
          <w:sz w:val="24"/>
        </w:rPr>
        <w:t xml:space="preserve">с _________ по _________ 20__ года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2"/>
          <w:footerReference w:type="first" r:id="rId13"/>
          <w:footnotePr/>
          <w:endnotePr/>
          <w:type w:val="nextPage"/>
          <w:pgSz w:w="11906" w:h="16838" w:orient="portrait"/>
          <w:pgMar w:top="1015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0"/>
        <w:gridCol w:w="1871"/>
        <w:gridCol w:w="2041"/>
        <w:gridCol w:w="907"/>
        <w:gridCol w:w="1077"/>
        <w:gridCol w:w="1701"/>
        <w:gridCol w:w="907"/>
        <w:gridCol w:w="1020"/>
        <w:gridCol w:w="1644"/>
        <w:gridCol w:w="1644"/>
        <w:gridCol w:w="2494"/>
      </w:tblGrid>
      <w:tr>
        <w:tblPrEx/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Данные лица, сведения о котором размещаются</w:t>
            </w:r>
            <w:r/>
          </w:p>
        </w:tc>
        <w:tc>
          <w:tcPr>
            <w:tcW w:w="2041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Декларированный годовой доход (руб.)</w:t>
            </w:r>
            <w:r/>
          </w:p>
        </w:tc>
        <w:tc>
          <w:tcPr>
            <w:gridSpan w:val="3"/>
            <w:tcW w:w="3685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Объекты недвижимости, находящиеся в собственности</w:t>
            </w:r>
            <w:r/>
          </w:p>
        </w:tc>
        <w:tc>
          <w:tcPr>
            <w:gridSpan w:val="3"/>
            <w:tcW w:w="3571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Объекты недвижимости, находящиеся в пользовании</w:t>
            </w:r>
            <w:r/>
          </w:p>
        </w:tc>
        <w:tc>
          <w:tcPr>
            <w:tcW w:w="1644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Транспортные средства (вид, марка)</w:t>
            </w:r>
            <w:r/>
          </w:p>
        </w:tc>
        <w:tc>
          <w:tcPr>
            <w:tcW w:w="2494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Сведения об источниках получения средств, за счет которых сове</w:t>
            </w:r>
            <w:r>
              <w:rPr>
                <w:sz w:val="24"/>
              </w:rPr>
              <w:t xml:space="preserve">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tooltip="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" w:anchor="P266" w:history="1">
              <w:r>
                <w:rPr>
                  <w:color w:val="0000ff"/>
                  <w:sz w:val="24"/>
                </w:rPr>
                <w:t xml:space="preserve">&lt;1&gt;</w:t>
              </w:r>
            </w:hyperlink>
            <w:r/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вид объекта</w:t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площадь (кв. м)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страна расположения</w:t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вид объекта</w:t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площадь (кв. м)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страна расположения</w:t>
            </w:r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60" w:type="dxa"/>
            <w:vMerge w:val="restart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Фамилия, инициалы и должность лица, чьи сведения размещаются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Супруг (супруга)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Несовершеннолетний ребенок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029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Фамилия, инициалы и должность лица, чьи сведения размещаются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Супруг (супруга)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  <w:t xml:space="preserve">Несовершеннолетний ребенок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7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907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020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  <w:tc>
          <w:tcPr>
            <w:tcW w:w="2494" w:type="dxa"/>
            <w:textDirection w:val="lrTb"/>
            <w:noWrap w:val="false"/>
          </w:tcPr>
          <w:p>
            <w:pPr>
              <w:pStyle w:val="1029"/>
            </w:pPr>
            <w:r>
              <w:rPr>
                <w:sz w:val="24"/>
              </w:rPr>
            </w:r>
            <w:r/>
          </w:p>
        </w:tc>
      </w:tr>
    </w:tbl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  <w:t xml:space="preserve">--------------------------------</w:t>
      </w:r>
      <w:r/>
    </w:p>
    <w:p>
      <w:pPr>
        <w:pStyle w:val="1029"/>
        <w:ind w:firstLine="540"/>
        <w:jc w:val="both"/>
        <w:spacing w:before="240"/>
      </w:pPr>
      <w:r/>
      <w:bookmarkStart w:id="266" w:name="P266"/>
      <w:r/>
      <w:bookmarkEnd w:id="266"/>
      <w:r>
        <w:rPr>
          <w:sz w:val="24"/>
        </w:rPr>
        <w:t xml:space="preserve">&lt;1&gt; Сведения указываются, если об</w:t>
      </w:r>
      <w:r>
        <w:rPr>
          <w:sz w:val="24"/>
        </w:rPr>
        <w:t xml:space="preserve">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ind w:firstLine="540"/>
        <w:jc w:val="both"/>
      </w:pPr>
      <w:r>
        <w:rPr>
          <w:sz w:val="24"/>
        </w:rPr>
      </w:r>
      <w:r/>
    </w:p>
    <w:p>
      <w:pPr>
        <w:pStyle w:val="1029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0"/>
      <w:headerReference w:type="first" r:id="rId11"/>
      <w:footerReference w:type="default" r:id="rId14"/>
      <w:footerReference w:type="first" r:id="rId15"/>
      <w:footnotePr/>
      <w:endnotePr/>
      <w:type w:val="nextPage"/>
      <w:pgSz w:w="16838" w:h="11906" w:orient="landscape"/>
      <w:pgMar w:top="1133" w:right="397" w:bottom="566" w:left="39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029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030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031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032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033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034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035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036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03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3038" w:default="1">
    <w:name w:val="Default Paragraph Font"/>
    <w:uiPriority w:val="1"/>
    <w:semiHidden/>
    <w:unhideWhenUsed/>
  </w:style>
  <w:style w:type="numbering" w:styleId="3039" w:default="1">
    <w:name w:val="No List"/>
    <w:uiPriority w:val="99"/>
    <w:semiHidden/>
    <w:unhideWhenUsed/>
  </w:style>
  <w:style w:type="table" w:styleId="30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footer" Target="footer4.xml" /><Relationship Id="rId16" Type="http://schemas.openxmlformats.org/officeDocument/2006/relationships/hyperlink" Target="www.pravo.gov.ru" TargetMode="External"/><Relationship Id="rId17" Type="http://schemas.openxmlformats.org/officeDocument/2006/relationships/hyperlink" Target="https://rosmintrud.ru/ministry/programms/anticorruption" TargetMode="External"/><Relationship Id="rId18" Type="http://schemas.openxmlformats.org/officeDocument/2006/relationships/hyperlink" Target="https://gossluzhba.gov.ru/anticorruption" TargetMode="External"/><Relationship Id="rId19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gossluzhba.gov.ru/page/index/spravki_b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25.06.2014 N 201
(ред. от 01.07.2024)
"Об утверждении Единых требований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Удмуртской Республики, посвященных вопросам противодействия коррупции"
(Зарегистрировано в Управлении Минюста России по УР 07.07.2014 N RU18000201400438)</dc:title>
  <cp:lastModifiedBy>perevozchikova_olga</cp:lastModifiedBy>
  <cp:revision>1</cp:revision>
  <dcterms:created xsi:type="dcterms:W3CDTF">2025-03-24T06:18:09Z</dcterms:created>
  <dcterms:modified xsi:type="dcterms:W3CDTF">2025-03-24T06:19:59Z</dcterms:modified>
</cp:coreProperties>
</file>