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954" w:type="dxa"/>
        <w:tblInd w:w="4219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954"/>
      </w:tblGrid>
      <w:tr>
        <w:trPr/>
        <w:tc>
          <w:tcPr>
            <w:tcW w:w="595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213"/>
              <w:jc w:val="right"/>
              <w:rPr>
                <w:rFonts w:ascii="TimesNewRomanPSMT" w:hAnsi="TimesNewRomanPSMT" w:cs="TimesNewRomanPSMT"/>
                <w:sz w:val="27"/>
                <w:szCs w:val="27"/>
                <w:lang w:eastAsia="ru-RU"/>
              </w:rPr>
            </w:pPr>
            <w:r>
              <w:rPr>
                <w:rFonts w:ascii="TimesNewRomanPSMT" w:hAnsi="TimesNewRomanPSMT" w:cs="TimesNewRomanPSMT"/>
                <w:sz w:val="27"/>
                <w:szCs w:val="27"/>
                <w:lang w:eastAsia="ru-RU"/>
              </w:rPr>
              <w:t xml:space="preserve">Приложение № 5</w:t>
            </w:r>
          </w:p>
          <w:p>
            <w:pPr>
              <w:pStyle w:val="Normal"/>
              <w:jc w:val="center"/>
              <w:rPr>
                <w:rFonts w:ascii="TimesNewRomanPSMT" w:hAnsi="TimesNewRomanPSMT" w:cs="TimesNewRomanPSMT"/>
                <w:sz w:val="27"/>
                <w:szCs w:val="27"/>
                <w:lang w:eastAsia="ru-RU"/>
              </w:rPr>
            </w:pPr>
            <w:r>
              <w:rPr>
                <w:rFonts w:ascii="TimesNewRomanPSMT" w:hAnsi="TimesNewRomanPSMT" w:cs="TimesNewRomanPSMT"/>
                <w:sz w:val="27"/>
                <w:szCs w:val="27"/>
                <w:lang w:eastAsia="ru-RU"/>
              </w:rPr>
              <w:t xml:space="preserve">Утверждены</w:t>
            </w:r>
          </w:p>
          <w:p>
            <w:pPr>
              <w:pStyle w:val="Normal"/>
              <w:jc w:val="right"/>
              <w:rPr>
                <w:rFonts w:ascii="TimesNewRomanPSMT" w:hAnsi="TimesNewRomanPSMT" w:cs="TimesNewRomanPSMT"/>
                <w:sz w:val="27"/>
                <w:szCs w:val="27"/>
                <w:lang w:eastAsia="ru-RU"/>
              </w:rPr>
            </w:pPr>
            <w:r>
              <w:rPr>
                <w:rFonts w:ascii="TimesNewRomanPSMT" w:hAnsi="TimesNewRomanPSMT" w:cs="TimesNewRomanPSMT"/>
                <w:sz w:val="27"/>
                <w:szCs w:val="27"/>
                <w:lang w:eastAsia="ru-RU"/>
              </w:rPr>
              <w:t xml:space="preserve">решением организационного комитета</w:t>
            </w:r>
          </w:p>
          <w:p>
            <w:pPr>
              <w:pStyle w:val="Normal"/>
              <w:jc w:val="right"/>
              <w:rPr>
                <w:rFonts w:ascii="TimesNewRomanPSMT" w:hAnsi="TimesNewRomanPSMT" w:cs="TimesNewRomanPSMT"/>
                <w:sz w:val="27"/>
                <w:szCs w:val="27"/>
                <w:lang w:eastAsia="ru-RU"/>
              </w:rPr>
            </w:pPr>
            <w:r>
              <w:rPr>
                <w:rFonts w:ascii="TimesNewRomanPSMT" w:hAnsi="TimesNewRomanPSMT" w:cs="TimesNewRomanPSMT"/>
                <w:sz w:val="27"/>
                <w:szCs w:val="27"/>
                <w:lang w:eastAsia="ru-RU"/>
              </w:rPr>
              <w:t xml:space="preserve">по проведению всероссийского конкурса</w:t>
            </w:r>
          </w:p>
          <w:p>
            <w:pPr>
              <w:pStyle w:val="Normal"/>
              <w:jc w:val="right"/>
              <w:rPr>
                <w:rFonts w:ascii="TimesNewRomanPSMT" w:hAnsi="TimesNewRomanPSMT" w:cs="TimesNewRomanPSMT"/>
                <w:sz w:val="27"/>
                <w:szCs w:val="27"/>
                <w:lang w:eastAsia="ru-RU"/>
              </w:rPr>
            </w:pPr>
            <w:r>
              <w:rPr>
                <w:rFonts w:ascii="TimesNewRomanPSMT" w:hAnsi="TimesNewRomanPSMT" w:cs="TimesNewRomanPSMT"/>
                <w:sz w:val="27"/>
                <w:szCs w:val="27"/>
                <w:lang w:eastAsia="ru-RU"/>
              </w:rPr>
              <w:t xml:space="preserve">«Российская организация высокой</w:t>
            </w:r>
          </w:p>
          <w:p>
            <w:pPr>
              <w:pStyle w:val="Normal"/>
              <w:jc w:val="right"/>
              <w:rPr>
                <w:rFonts w:ascii="TimesNewRomanPSMT" w:hAnsi="TimesNewRomanPSMT" w:cs="TimesNewRomanPSMT"/>
                <w:sz w:val="27"/>
                <w:szCs w:val="27"/>
                <w:lang w:eastAsia="ru-RU"/>
              </w:rPr>
            </w:pPr>
            <w:r>
              <w:rPr>
                <w:rFonts w:ascii="TimesNewRomanPSMT" w:hAnsi="TimesNewRomanPSMT" w:cs="TimesNewRomanPSMT"/>
                <w:sz w:val="27"/>
                <w:szCs w:val="27"/>
                <w:lang w:eastAsia="ru-RU"/>
              </w:rPr>
              <w:t xml:space="preserve">социальной эффективности»</w:t>
            </w:r>
          </w:p>
          <w:p>
            <w:pPr>
              <w:pStyle w:val="Normal"/>
              <w:jc w:val="right"/>
              <w:rPr>
                <w:sz w:val="27"/>
                <w:szCs w:val="27"/>
              </w:rPr>
            </w:pPr>
            <w:r>
              <w:rPr>
                <w:rFonts w:ascii="TimesNewRomanPSMT" w:hAnsi="TimesNewRomanPSMT" w:cs="TimesNewRomanPSMT"/>
                <w:sz w:val="27"/>
                <w:szCs w:val="27"/>
                <w:lang w:eastAsia="ru-RU"/>
              </w:rPr>
              <w:t xml:space="preserve">от «24»  февраля 2025 г. протокол № 4</w:t>
            </w: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</w:t>
      </w: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проведению всероссийского конкурса 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«Российская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организация высокой социальной эффективности»</w:t>
      </w: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Общие положения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Всероссийский конкурс «Российская организация высокой социальной эффективности» (далее – конкурс) проводится в соответствии с распоряжением Правительства Российской Федерации от 4 марта 2009 г.</w:t>
        <w:br w:type="textWrapping" w:clear="all"/>
        <w:t xml:space="preserve">№ 265-р.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Целью проведения конкурса является привлечение общественного внимания к важности социальных вопросов на уровне организаций и предприятий, демонстрация конкретных примеров решения социальных задач</w:t>
      </w:r>
      <w:r>
        <w:rPr>
          <w:sz w:val="28"/>
        </w:rPr>
        <w:t xml:space="preserve"> в достижении национальных целей развития России</w:t>
      </w:r>
      <w:r>
        <w:rPr>
          <w:sz w:val="28"/>
        </w:rPr>
        <w:t xml:space="preserve">, а также стимулирование организаций и предприятий к заимствованию положительного опыта в данной области.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Конкурс проводится ежегодно в два этапа на региональном и федеральном уровнях по номинациям, ежегодно утверждаемым организационным комитетом по проведению конкурса (далее – организационный комитет).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По каждой номинации конкурса определяются победители. </w:t>
      </w:r>
    </w:p>
    <w:p>
      <w:pPr>
        <w:pStyle w:val="Normal"/>
        <w:tabs>
          <w:tab w:val="center" w:pos="5037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каждой номинации определяется один победитель, занявший первое место; не более двух победителей, занявших второе место; не более двух победителей, занявших третье место.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Победители федерального этапа конкурса определяются из числа победителей региональных этапов конкурса по соответствующим номинациям.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Подготовка, организация и проведение конкурса на федеральном уровне, а также подведение итогов конкурса осуществляются в соответствии с настоящими методическими рекомендациями, планом мероприятий и порядком проведения конкурса и награждения его победителей, критериями отбора победителей конкурса и иными документами, утверждаемыми организационным комитетом. </w:t>
      </w:r>
    </w:p>
    <w:p>
      <w:pPr>
        <w:pStyle w:val="Normal"/>
        <w:tabs>
          <w:tab w:val="center" w:pos="5037" w:leader="none"/>
        </w:tabs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подготовке, организации и проведении конкурса на региональном уровне органы исполнительной власти субъектов Российской Федерации могут также руководствоваться иными методическими материалами, разрабатываемыми и утверждаемыми в субъектах Российской Федерации.</w:t>
      </w:r>
    </w:p>
    <w:p>
      <w:pPr>
        <w:pStyle w:val="UserStyle_17"/>
        <w:numPr>
          <w:numId w:val="0"/>
          <w:ilvl w:val="0"/>
        </w:numPr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Участниками конкурса могут быть российские юридические лица независимо от организационно-правовой формы, формы собственности и осуществляемых видов экономической деятельности, а также их филиалы по согласованию с создавшими их юридическими лицами (далее – организации). </w:t>
      </w:r>
      <w:r>
        <w:rPr>
          <w:sz w:val="28"/>
        </w:rPr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Отнесение участников конкурса к производственной или непроизводственной сфере производиться в соответствии с основным </w:t>
      </w:r>
      <w:r>
        <w:rPr>
          <w:sz w:val="28"/>
        </w:rPr>
        <w:t xml:space="preserve">видом экономической деятельности участника конкурса. </w:t>
      </w:r>
      <w:r>
        <w:rPr>
          <w:sz w:val="28"/>
        </w:rPr>
      </w:r>
    </w:p>
    <w:p>
      <w:pPr>
        <w:pStyle w:val="UserStyle_17"/>
        <w:numPr>
          <w:numId w:val="0"/>
          <w:ilvl w:val="0"/>
        </w:numPr>
        <w:ind w:firstLine="709"/>
        <w:rPr>
          <w:sz w:val="28"/>
        </w:rPr>
      </w:pPr>
      <w:r>
        <w:rPr>
          <w:sz w:val="28"/>
        </w:rPr>
        <w:t xml:space="preserve">Производственная сфера («реальный сектор» - </w:t>
      </w:r>
      <w:r>
        <w:rPr>
          <w:sz w:val="28"/>
        </w:rPr>
        <w:t xml:space="preserve">в </w:t>
      </w:r>
      <w:r>
        <w:rPr>
          <w:sz w:val="28"/>
        </w:rPr>
        <w:t xml:space="preserve">современной терминологии) представляет собой совокупность производств и видов деятельности</w:t>
      </w:r>
      <w:r>
        <w:rPr>
          <w:sz w:val="28"/>
        </w:rPr>
        <w:t xml:space="preserve">, результатом которых является материальный продукт (товар) для идентификации которого в соответствии с Общероссийским классификатором видов экономической деятельности (ОКВЭД2) ОК 029-2014 относятся следующие коды классов  ОКВЭД2: 01-43 (со всеми входящими кодами); 49.20 (со всеми входящими кодами);</w:t>
      </w:r>
      <w:r>
        <w:rPr>
          <w:sz w:val="28"/>
        </w:rPr>
        <w:t xml:space="preserve"> 49.40 </w:t>
      </w:r>
      <w:r>
        <w:rPr>
          <w:sz w:val="28"/>
        </w:rPr>
        <w:t xml:space="preserve">(со всеми входящими кодами);</w:t>
      </w:r>
      <w:r>
        <w:rPr>
          <w:sz w:val="28"/>
        </w:rPr>
        <w:t xml:space="preserve"> </w:t>
      </w:r>
      <w:r>
        <w:rPr>
          <w:sz w:val="28"/>
        </w:rPr>
        <w:t xml:space="preserve"> 49.41 (со всеми входящими кодами); 49.50 (со всеми входящими кодами); 50.20 (со всеми входящими кодами); 50.40 (со всеми входящими кодами); 51.21 (со всеми входящими кодами)</w:t>
      </w:r>
      <w:r>
        <w:rPr>
          <w:sz w:val="28"/>
        </w:rPr>
        <w:t xml:space="preserve">;</w:t>
      </w:r>
      <w:r>
        <w:t xml:space="preserve"> </w:t>
      </w:r>
      <w:r>
        <w:rPr>
          <w:sz w:val="28"/>
        </w:rPr>
        <w:t xml:space="preserve">51.2</w:t>
      </w:r>
      <w:r>
        <w:rPr>
          <w:sz w:val="28"/>
        </w:rPr>
        <w:t xml:space="preserve">2</w:t>
      </w:r>
      <w:r>
        <w:rPr>
          <w:sz w:val="28"/>
        </w:rPr>
        <w:t xml:space="preserve"> (со всеми входящими кодами)</w:t>
      </w:r>
      <w:r>
        <w:rPr>
          <w:sz w:val="28"/>
        </w:rPr>
        <w:t xml:space="preserve">.</w:t>
      </w:r>
    </w:p>
    <w:p>
      <w:pPr>
        <w:pStyle w:val="UserStyle_17"/>
        <w:numPr>
          <w:numId w:val="0"/>
          <w:ilvl w:val="0"/>
        </w:numPr>
        <w:ind w:firstLine="709"/>
        <w:rPr>
          <w:sz w:val="28"/>
        </w:rPr>
      </w:pPr>
      <w:r>
        <w:rPr>
          <w:sz w:val="28"/>
        </w:rPr>
        <w:t xml:space="preserve">Учитывая, что непроизводственная сфера – это часть хозяйства или экономики страны, которая не занимается производством м</w:t>
      </w:r>
      <w:r>
        <w:rPr>
          <w:sz w:val="28"/>
        </w:rPr>
        <w:t xml:space="preserve">а</w:t>
      </w:r>
      <w:r>
        <w:rPr>
          <w:sz w:val="28"/>
        </w:rPr>
        <w:t xml:space="preserve">териальных благ, в соответствии с ОКВЭД2 </w:t>
      </w:r>
      <w:r>
        <w:rPr>
          <w:sz w:val="28"/>
        </w:rPr>
        <w:t xml:space="preserve">следует </w:t>
      </w:r>
      <w:r>
        <w:rPr>
          <w:sz w:val="28"/>
        </w:rPr>
        <w:t xml:space="preserve">для</w:t>
      </w:r>
      <w:r>
        <w:rPr>
          <w:sz w:val="28"/>
        </w:rPr>
        <w:t xml:space="preserve"> данной сферы деятельности использовать следующие коды классов ОКВЭД2: 45 (со всеми входящими кодами); 46-47 (со всеми входящими кодами); 49.10 (со всеми входящими кодами); 49.31 (со всеми входящими кодами);</w:t>
      </w:r>
      <w:r>
        <w:t xml:space="preserve"> </w:t>
      </w:r>
      <w:r>
        <w:rPr>
          <w:sz w:val="28"/>
        </w:rPr>
        <w:t xml:space="preserve">49.3</w:t>
      </w:r>
      <w:r>
        <w:rPr>
          <w:sz w:val="28"/>
        </w:rPr>
        <w:t xml:space="preserve">2</w:t>
      </w:r>
      <w:r>
        <w:rPr>
          <w:sz w:val="28"/>
        </w:rPr>
        <w:t xml:space="preserve"> (со всеми входящими кодами);</w:t>
      </w:r>
      <w:r>
        <w:rPr>
          <w:sz w:val="28"/>
        </w:rPr>
        <w:t xml:space="preserve"> 49.39 (со всеми входящими кодами); 50.10 (со всеми входящими кодами); 50.30 (со всеми входящими кодами); 51.10 (со всеми входящими кодами); 52-96 (со всеми входящими кодами).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bookmarkStart w:id="0" w:name="_Ref98829233"/>
      <w:r>
        <w:rPr>
          <w:sz w:val="28"/>
        </w:rPr>
        <w:t xml:space="preserve">Участие в региональном и федеральном этапах конкурса является бесплатным.</w:t>
      </w:r>
      <w:bookmarkEnd w:id="0"/>
      <w:r>
        <w:rPr>
          <w:sz w:val="28"/>
        </w:rPr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Победители конкурса на региональном уровне определяются решением региональной трехсторонней комиссии по регулированию социально-трудовых отношений (далее – региональная трехсторонняя комиссия), на федеральном – решением Российской трехсторонней комиссии по регулированию социально-трудовых отношений (далее – </w:t>
      </w:r>
      <w:r>
        <w:rPr>
          <w:sz w:val="28"/>
        </w:rPr>
        <w:t xml:space="preserve">РТК</w:t>
      </w:r>
      <w:r>
        <w:rPr>
          <w:sz w:val="28"/>
        </w:rPr>
        <w:t xml:space="preserve">). 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Критерии отбора победителей конкурса включают в себя:</w:t>
      </w:r>
    </w:p>
    <w:p>
      <w:pPr>
        <w:pStyle w:val="Normal"/>
        <w:tabs>
          <w:tab w:val="center" w:pos="5037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допуска к участию в конкурсе (далее – критерии допуска), на основе которых осуществляется первичный отбор заявок участников и принимается решение о допуске к участию в конкурсе;</w:t>
      </w:r>
    </w:p>
    <w:p>
      <w:pPr>
        <w:pStyle w:val="Normal"/>
        <w:tabs>
          <w:tab w:val="center" w:pos="5037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принятых к участию в конкурсе заявок (далее – критерии оценки), на основе которых определяются победители конкурса.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Оценка заявок осуществляется путем ранжирования участников по сумме баллов, присваиваемых в соответствии с системой показателей и их значениями, составляющими критерии оценки.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bCs/>
          <w:sz w:val="28"/>
        </w:rPr>
      </w:pPr>
      <w:r>
        <w:rPr>
          <w:bCs/>
          <w:sz w:val="28"/>
        </w:rPr>
        <w:t xml:space="preserve">Организация допускается к участию в конкурсе при соответствии следующим критериям допуска: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осуществляет свою деятельность не менее трех лет;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не находится в стадии ликвидации, не признана банкротом, и ее деятельность не приостановлена в порядке, предусмотренном Кодексом Российской Федерации об административных правонарушениях;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не имеет задолженности по платежам, включая текущие, в бюджеты всех уровней и государственные внебюджетные фонды на дату, предшествующую дате подачи заявки на участие в конкурсе не более чем на месяц, за исключением задолженности, возникшей в результате округления сумм при исчислении налогов налоговым органом;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не имела случаев производственного травматизма со смертельным исходом в течение года, предшествующего конкурсу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не имеет неустраненные нарушения трудового законодательства</w:t>
      </w:r>
      <w:r>
        <w:rPr>
          <w:color w:val="000000"/>
          <w:sz w:val="28"/>
          <w:szCs w:val="28"/>
        </w:rPr>
        <w:t xml:space="preserve"> и иных нормативных правовых актов, содержащих нормы трудового права</w:t>
      </w:r>
      <w:r>
        <w:rPr>
          <w:color w:val="000000"/>
          <w:sz w:val="28"/>
          <w:szCs w:val="28"/>
        </w:rPr>
        <w:t xml:space="preserve">, в том числе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просроченную задолженность по заработной плате и другим выплатам работникам</w:t>
      </w:r>
      <w:r>
        <w:rPr>
          <w:color w:val="000000"/>
          <w:sz w:val="28"/>
          <w:szCs w:val="28"/>
        </w:rPr>
        <w:t xml:space="preserve">, нарушения в выполнении работодателем установленной квоты для приема на работу инвалидов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и работодатели не находятся в состоянии коллективного трудового спора;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не имеет неустраненные нарушения миграционного законодательства в части привлечения иностранных работников;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не имеет судебных решений и тяжб, связанных с нарушением трудовых прав работников;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заявке на участие в конкурсе организацией указаны достоверные сведения, а также в полном объеме представлены документы, предусмотренные настоящими методическими рекомендациями.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может быть исключена из числа участников на любом этапе Конкурса в случае предоставления неполных сведений или недостоверной информации, а также, если организация перестала соответствовать предъявляемым требованиям во время проведения конкурса (до утверждения победителей).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</w:t>
      </w:r>
      <w:r>
        <w:rPr>
          <w:sz w:val="28"/>
          <w:szCs w:val="28"/>
        </w:rPr>
        <w:t xml:space="preserve">анизационный </w:t>
      </w:r>
      <w:r>
        <w:rPr>
          <w:sz w:val="28"/>
          <w:szCs w:val="28"/>
        </w:rPr>
        <w:t xml:space="preserve">комитет может запросить дополнительную информацию по участникам Конкурса.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Освещение в средствах массовой информации конкурса и достижений его участников в решении ими социальных вопросов осуществляется </w:t>
      </w:r>
      <w:r>
        <w:rPr>
          <w:sz w:val="28"/>
        </w:rPr>
        <w:t xml:space="preserve">Министерством труда и социальной защиты Российской Федерации </w:t>
      </w:r>
      <w:r>
        <w:rPr>
          <w:sz w:val="28"/>
        </w:rPr>
        <w:t xml:space="preserve">при содействии </w:t>
      </w:r>
      <w:r>
        <w:rPr>
          <w:sz w:val="28"/>
        </w:rPr>
        <w:t xml:space="preserve">Министерства цифрового развития, связи и массовых коммуникаций Российской Федерации.</w:t>
      </w:r>
      <w:r>
        <w:rPr>
          <w:sz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Организация и проведение конкурса на региональном уровне</w:t>
      </w: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Организационно-техническое обеспечение проведения конкурса на региональном уровне осуществляет уполномоченный орган исполнительной власти субъекта Российской Федерации, определяемый высшим органом исполнительной власти субъекта Российской Федерации.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Для решения вопросов, связанных с проведением конкурса на региональном уровне, уполномоченный орган исполнительной власти субъекта Российской Федерации с участием сторон региональной трехсторонней комиссии формирует экспертную рабочую группу.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экспертную рабочую группу на паритетной основе могут входить представители органов государственной власти субъекта Российской Федерации, региональных объединений работодателей и региональных объединений профсоюзов, а также могут быть включены представители органов местного самоуправления и отраслевых объединений профсоюзов.</w:t>
      </w:r>
    </w:p>
    <w:p>
      <w:pPr>
        <w:pStyle w:val="Normal"/>
        <w:widowControl w:val="off"/>
        <w:tabs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экспертную рабочую группу не может входить лицо, которое подает заявку на участие в конкурсе в качестве контактного лица организации-участника конкурса.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Экспертная рабочая группа осуществляет следующие основные функции: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рассмотрение и согласование проекта плана мероприятий по проведению регионального этапа конкурса;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рассмотрение и оценку заявок участников регионального этапа конкурса;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подготовку проектов решений региональных трехсторонних комиссий о победителях регионального этапа конкурса, порядке их награждения, а также о номинировании победителей для участия в конкурсе на федеральном уровне.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экспертной рабочей группы в субъекте Российской Федерации могут выполняться иным постоянно действующим совещательным органом при региональной трехсторонней комиссии.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Информирование заинтересованных лиц о проведении конкурса, порядке и сроках подачи заявок для участия в региональном этапе конкурса, критериях и порядке определения победителей регионального этапа конкурса, и иных вопросах, связанных с организацией конкурса, осуществляется уполномоченным органом исполнительной власти субъекта Российской Федерации с участием региональных или отраслевых объединений работодателей, территориальных объединений организаций профсоюзов.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заинтересованных лиц и освещение регионального этапа конкурса осуществляется с привлечением региональных средств массовой информации, включая периодические издания, радио и телевидение, Интернет-ресурсы.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Участие организаций в региональном этапе конкурса осуществляется на основе самовыдвижения, либо по представлению региональных или отраслевых объединений </w:t>
      </w:r>
      <w:r>
        <w:rPr>
          <w:sz w:val="28"/>
        </w:rPr>
        <w:t xml:space="preserve">(ассоциаций) </w:t>
      </w:r>
      <w:r>
        <w:rPr>
          <w:sz w:val="28"/>
        </w:rPr>
        <w:t xml:space="preserve">работодателей, либо по представлению территориальных объединений организаций профсоюзов при условии соответствия критериям допуска, установленным настоящими методическими рекомендациями.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Организации подают заявку на участие в региональном этапе конкурса в субъекте Российской Федерации, в котором они зарегистрированы, либо где они фактически не менее трех лет осуществляют хозяйственную деятельность.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Филиалы юридических лиц подают заявку на участие в региональном этапе конкурса в субъекте Российской Федерации, где они осуществляют хозяйственную деятельность.</w:t>
      </w:r>
    </w:p>
    <w:p>
      <w:pPr>
        <w:pStyle w:val="Normal"/>
        <w:widowControl w:val="off"/>
        <w:tabs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региональном этапе конкурса организация своевременно подает заявку, содержание которой определяется настоящими методическими рекомендациями, в уполномоченный орган исполнительной власти субъекта Российской Федерации. </w:t>
      </w:r>
      <w:r>
        <w:rPr>
          <w:sz w:val="28"/>
          <w:szCs w:val="28"/>
        </w:rPr>
      </w:r>
    </w:p>
    <w:p>
      <w:pPr>
        <w:pStyle w:val="Normal"/>
        <w:widowControl w:val="off"/>
        <w:tabs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Контактным лицом организации-участника конкурса не может быть член экспертной рабочей группы, созданной для решения вопросов, связанных с проведением конкурса на региональном уровне.</w:t>
      </w:r>
    </w:p>
    <w:p>
      <w:pPr>
        <w:pStyle w:val="Normal"/>
        <w:widowControl w:val="off"/>
        <w:tabs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заявки участника конкурса утверждается организационным комитетом.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заявке на участие в конкурсе приводятся сведения, подтверждающие соответствие участника критериям допуска, установленным настоящими методическими рекомендациями.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Заявка на участие в конкурсе включает в себя следующие </w:t>
      </w:r>
      <w:r>
        <w:rPr>
          <w:sz w:val="28"/>
        </w:rPr>
        <w:t xml:space="preserve">отсканированные образы </w:t>
      </w:r>
      <w:r>
        <w:rPr>
          <w:sz w:val="28"/>
        </w:rPr>
        <w:t xml:space="preserve">документов</w:t>
      </w:r>
      <w:r>
        <w:rPr>
          <w:sz w:val="28"/>
        </w:rPr>
        <w:t xml:space="preserve">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намерении организации принять участие в конкурсе, в котором указываются наименование организации, сведения об организационно-правовой форме и месте регистрации, о форме собственности организации, перечень осуществляемых видов экономической деятельности, почтовый адрес, номер контактного телефона, иные возможности оперативной связи, а также наименование номинации конкурса; заявление подписывает руководитель организации, председатель профсоюзной организации (при наличии) или представитель иного представительного органа работников и главный бухгалтер</w:t>
      </w:r>
      <w:r>
        <w:rPr>
          <w:sz w:val="28"/>
          <w:szCs w:val="28"/>
        </w:rPr>
        <w:t xml:space="preserve">, заверенн</w:t>
      </w:r>
      <w:r>
        <w:rPr>
          <w:sz w:val="28"/>
          <w:szCs w:val="28"/>
        </w:rPr>
        <w:t xml:space="preserve">ое</w:t>
      </w:r>
      <w:r>
        <w:rPr>
          <w:sz w:val="28"/>
          <w:szCs w:val="28"/>
        </w:rPr>
        <w:t xml:space="preserve"> цифровой подписью или </w:t>
      </w:r>
      <w:r>
        <w:rPr>
          <w:sz w:val="28"/>
          <w:szCs w:val="28"/>
        </w:rPr>
        <w:t xml:space="preserve">скан заявления с </w:t>
      </w:r>
      <w:r>
        <w:rPr>
          <w:sz w:val="28"/>
          <w:szCs w:val="28"/>
        </w:rPr>
        <w:t xml:space="preserve">печать</w:t>
      </w:r>
      <w:r>
        <w:rPr>
          <w:sz w:val="28"/>
          <w:szCs w:val="28"/>
        </w:rPr>
        <w:t xml:space="preserve">ю руководителя организации</w:t>
      </w:r>
      <w:r>
        <w:rPr>
          <w:sz w:val="28"/>
          <w:szCs w:val="28"/>
        </w:rPr>
        <w:t xml:space="preserve">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представленных в заявке документов</w:t>
      </w:r>
      <w:r>
        <w:rPr>
          <w:sz w:val="28"/>
          <w:szCs w:val="28"/>
        </w:rPr>
        <w:t xml:space="preserve">, с указанием названия каждого документа</w:t>
      </w:r>
      <w:r>
        <w:rPr>
          <w:sz w:val="28"/>
          <w:szCs w:val="28"/>
        </w:rPr>
        <w:t xml:space="preserve">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заявлению, в котором содержатся сведения для оценки участника конкурса по номинации, указанной в заявлении организацией, а также сумма баллов, определенная организацией в соответствии с критериями оценки;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 в соответствии</w:t>
      </w:r>
      <w:r>
        <w:rPr>
          <w:sz w:val="28"/>
          <w:szCs w:val="28"/>
        </w:rPr>
        <w:t xml:space="preserve"> с шаблоном </w:t>
      </w:r>
      <w:r>
        <w:rPr>
          <w:sz w:val="28"/>
          <w:szCs w:val="28"/>
        </w:rPr>
        <w:t xml:space="preserve">по соответствующей номинации </w:t>
      </w:r>
      <w:r>
        <w:rPr>
          <w:sz w:val="28"/>
          <w:szCs w:val="28"/>
        </w:rPr>
        <w:t xml:space="preserve">согласно приложению 1 (в пояснительной записке, в обязательном порядке отражаются краткое описание утвержденной политики/стратегии в рамках номинации, краткое описание социальных программ в рамках номинации, среднесписочная численность и средняя заработная плата (за три года), уровень и динамика показателей, характеризующих производительность труда, информация о проводимых мероприятиях в рамках номинации, со ссылками на подтверждающие документы и приложением копий таких документов);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результатах хозяйственной деятельности в данном субъекте Российской Федерации за три года, предшествующих году проведения конкурса, в произвольной форме объемом не более 5 </w:t>
      </w:r>
      <w:r>
        <w:rPr>
          <w:sz w:val="28"/>
          <w:szCs w:val="28"/>
        </w:rPr>
        <w:t xml:space="preserve">страниц</w:t>
      </w:r>
      <w:r>
        <w:rPr>
          <w:sz w:val="28"/>
          <w:szCs w:val="28"/>
        </w:rPr>
        <w:t xml:space="preserve">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заявлению, в котором в произвольной форме указываются сведения о наличии предписаний (постановлений, представлений, решений) органов (должностных лиц), осуществляющих государственный надзор (контроль), об устранении нарушений законодательства Российской Федерации, а также об их исполнении, либо декларируется их отсутствие;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скан-копию</w:t>
      </w:r>
      <w:r>
        <w:rPr>
          <w:sz w:val="28"/>
          <w:szCs w:val="28"/>
        </w:rPr>
        <w:t xml:space="preserve"> оригинала или нотариально заверенной копии</w:t>
      </w:r>
      <w:r>
        <w:rPr>
          <w:sz w:val="28"/>
          <w:szCs w:val="28"/>
        </w:rPr>
        <w:t xml:space="preserve"> выписки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диного государственного реестра юридических лиц;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скан</w:t>
      </w:r>
      <w:r>
        <w:rPr>
          <w:sz w:val="28"/>
          <w:szCs w:val="28"/>
        </w:rPr>
        <w:t xml:space="preserve">-копию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свидетельства о регистрации юридического лица (для филиалов юридических лиц – копию положения о филиале);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</w:t>
      </w:r>
      <w:r>
        <w:rPr>
          <w:sz w:val="28"/>
          <w:szCs w:val="28"/>
        </w:rPr>
        <w:t xml:space="preserve"> об отсутствии в настоящее время неисполненной обязанности по уплате налогов, сборов, пеней и налоговых санкций, подлежащих уплате в соответствии с законодательством Российской Федерации (при необходимости), об отсутствии в настоящее время неисполненной обязанности по уплате страховых взносов, подлежащих уплате в соответствии с законодательством Российской Федерации;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скан</w:t>
      </w:r>
      <w:r>
        <w:rPr>
          <w:sz w:val="28"/>
          <w:szCs w:val="28"/>
        </w:rPr>
        <w:t xml:space="preserve">-копию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действующего коллективного договора (при его наличии), а также информацию о прохождении уведомительной регистрации коллективного договора в соответствующем органе по труду или в органе местного самоуправления.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Филиалы юридических лиц в составе документов, содержащихся в заявке на участие в региональном этапе конкурса, представляют также письма, подтверждающие согласие создавших указанные филиалы юридических лиц на их участие в региональном этапе конкурса.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участник заявлен для участия в конкурсе по представлению региональных или отраслевых объединений работодателей, либо по представлению территориальных объединений организаций профсоюзов, то к представлению должна быть п</w:t>
      </w:r>
      <w:r>
        <w:rPr>
          <w:sz w:val="28"/>
          <w:szCs w:val="28"/>
        </w:rPr>
        <w:t xml:space="preserve">риложена заявка на участие в региональном этапе конкурса рекомендуемой ими организации, заполненная в соответствии с требованиями настоящих методических рекомендаций.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Скан</w:t>
      </w:r>
      <w:r>
        <w:rPr>
          <w:sz w:val="28"/>
          <w:szCs w:val="28"/>
        </w:rPr>
        <w:t xml:space="preserve">-копию</w:t>
      </w:r>
      <w:r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 xml:space="preserve">на участие в конкурсе, сведения для оценки участника конкурса по номинации, пояснительная записка к сведениям для оценки участников конкурса по номинации, информация о результатах хозяйственной деятельности в данном субъекте Российской Федерации и сведения о наличии и исполнении предписаний заверяются подписью руководителя и печатью организации.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Организация вправе подавать заявку на участие в региональном этапе конкурса по одной или нескольким номинациям. Заявки на участие в конкурсе подаются по каждой номинации отдельно.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Организация подает заявку на участие в конкурсе в электронном кабинете </w:t>
      </w:r>
      <w:r>
        <w:rPr>
          <w:rFonts w:eastAsia="Calibri"/>
          <w:sz w:val="28"/>
          <w:lang w:eastAsia="en-US"/>
        </w:rPr>
        <w:t xml:space="preserve">Программно-информационного комплекса «</w:t>
      </w:r>
      <w:r>
        <w:rPr>
          <w:sz w:val="28"/>
        </w:rPr>
        <w:t xml:space="preserve">Мониторинг проведения всероссийского конкурса «Российская организация высокой социальной эффективности» и награждения его победителей» https://ot.rosmintrud.ru (далее – ПИК «Мониторинг») в информационно-коммуникационной сети Интернет.</w:t>
      </w:r>
    </w:p>
    <w:p>
      <w:pPr>
        <w:pStyle w:val="UserStyle_17"/>
        <w:numPr>
          <w:numId w:val="0"/>
          <w:ilvl w:val="0"/>
        </w:numPr>
        <w:ind w:firstLine="720"/>
        <w:rPr>
          <w:sz w:val="28"/>
        </w:rPr>
      </w:pPr>
      <w:r>
        <w:rPr>
          <w:sz w:val="28"/>
        </w:rPr>
        <w:t xml:space="preserve">Инструкция по работе участника конкурса в ПИК «Мониторинг» (роль – «Участник») приведена в приложении 6.</w:t>
      </w:r>
    </w:p>
    <w:p>
      <w:pPr>
        <w:pStyle w:val="UserStyle_17"/>
        <w:numPr>
          <w:numId w:val="0"/>
          <w:ilvl w:val="0"/>
        </w:numPr>
        <w:ind w:firstLine="720"/>
        <w:rPr>
          <w:sz w:val="28"/>
        </w:rPr>
      </w:pPr>
      <w:r>
        <w:rPr>
          <w:sz w:val="28"/>
        </w:rPr>
        <w:t xml:space="preserve">Заявки на участие в конкурсе, поданные в бумажном виде </w:t>
      </w:r>
      <w:r>
        <w:rPr>
          <w:sz w:val="28"/>
        </w:rPr>
        <w:t xml:space="preserve">не </w:t>
      </w:r>
      <w:r>
        <w:rPr>
          <w:sz w:val="28"/>
        </w:rPr>
        <w:t xml:space="preserve">принима</w:t>
      </w:r>
      <w:r>
        <w:rPr>
          <w:sz w:val="28"/>
        </w:rPr>
        <w:t xml:space="preserve">ю</w:t>
      </w:r>
      <w:r>
        <w:rPr>
          <w:sz w:val="28"/>
        </w:rPr>
        <w:t xml:space="preserve">тся и </w:t>
      </w:r>
      <w:r>
        <w:rPr>
          <w:sz w:val="28"/>
        </w:rPr>
        <w:t xml:space="preserve">не </w:t>
      </w:r>
      <w:r>
        <w:rPr>
          <w:sz w:val="28"/>
        </w:rPr>
        <w:t xml:space="preserve">рассматрива</w:t>
      </w:r>
      <w:r>
        <w:rPr>
          <w:sz w:val="28"/>
        </w:rPr>
        <w:t xml:space="preserve">ю</w:t>
      </w:r>
      <w:r>
        <w:rPr>
          <w:sz w:val="28"/>
        </w:rPr>
        <w:t xml:space="preserve">тся.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Заявка на участие в конкурсе, а также вся корреспонденция (электронная переписка) и документация, связанная с участием организации в конкурсе, которыми обмениваются участник регионального этапа конкурса и уполномоченный орган исполнительной власти субъектов Российской Федерации, должны быть написаны на русском языке.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Уполномоченный орган исполнительной власти в субъектах Российской Федерации самостоятельно определяет сроки представления заявки на участие в региональном этапе конкурса, исходя из сроков проведения федерального этапа конкурса</w:t>
      </w:r>
      <w:r>
        <w:rPr>
          <w:sz w:val="28"/>
        </w:rPr>
        <w:t xml:space="preserve">,</w:t>
      </w:r>
      <w:r>
        <w:rPr>
          <w:sz w:val="28"/>
        </w:rPr>
        <w:t xml:space="preserve"> установленных Планом мероприятий по проведению конкурса.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Поданные после окончания установленного срока подачи заявок на участие в конкурсе заявки на участие в конкурсе в электронном кабинет</w:t>
      </w:r>
      <w:r>
        <w:rPr>
          <w:sz w:val="28"/>
        </w:rPr>
        <w:t xml:space="preserve">е</w:t>
      </w:r>
      <w:r>
        <w:rPr>
          <w:sz w:val="28"/>
        </w:rPr>
        <w:t xml:space="preserve"> ПИК «Мониторинг» экспертной рабочей группой субъекта Российской Федерации не рассматриваются. 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  <w:lang w:eastAsia="ru-RU"/>
        </w:rPr>
      </w:pPr>
      <w:r>
        <w:rPr>
          <w:sz w:val="28"/>
        </w:rPr>
        <w:t xml:space="preserve">«Открытие доступа к поданным в форме электронных документов заявкам участников регионального этапа конкурса проводиться экспертной рабочей группой субъекта Российской Федерации по условии регистрации в ПИК «Мониторинг» не менее 2/3 списочного состава членов экспертной рабочей группы субъекта Российской Федерации»</w:t>
      </w:r>
      <w:r>
        <w:rPr>
          <w:sz w:val="28"/>
        </w:rPr>
        <w:t xml:space="preserve">.</w:t>
      </w:r>
      <w:r>
        <w:rPr>
          <w:sz w:val="28"/>
          <w:lang w:eastAsia="ru-RU"/>
        </w:rPr>
      </w:r>
    </w:p>
    <w:p>
      <w:pPr>
        <w:pStyle w:val="UserStyle_17"/>
        <w:numPr>
          <w:numId w:val="0"/>
          <w:ilvl w:val="0"/>
        </w:numPr>
        <w:ind w:firstLine="709"/>
        <w:rPr>
          <w:sz w:val="28"/>
        </w:rPr>
      </w:pPr>
      <w:r>
        <w:rPr>
          <w:sz w:val="28"/>
        </w:rPr>
        <w:t xml:space="preserve">Экспертная рабочая группа субъекта Российской Федерации ведет протокол </w:t>
      </w:r>
      <w:r>
        <w:rPr>
          <w:sz w:val="28"/>
        </w:rPr>
        <w:t xml:space="preserve">открытия </w:t>
      </w:r>
      <w:r>
        <w:rPr>
          <w:sz w:val="28"/>
        </w:rPr>
        <w:t xml:space="preserve">доступа к </w:t>
      </w:r>
      <w:r>
        <w:rPr>
          <w:color w:val="000000"/>
          <w:sz w:val="28"/>
          <w:shd w:val="clear" w:color="auto" w:fill="ffffff"/>
        </w:rPr>
        <w:t xml:space="preserve">поданным в форме электронных документов заявкам</w:t>
      </w:r>
      <w:r>
        <w:rPr>
          <w:sz w:val="28"/>
        </w:rPr>
        <w:t xml:space="preserve"> на участие в конкурсе (приложение 2), в котором указываются предусмотренные настоящим пунктом сведения.</w:t>
      </w:r>
    </w:p>
    <w:p>
      <w:pPr>
        <w:pStyle w:val="UserStyle_17"/>
        <w:numPr>
          <w:numId w:val="0"/>
          <w:ilvl w:val="0"/>
        </w:numPr>
        <w:ind w:firstLine="709"/>
        <w:rPr>
          <w:sz w:val="28"/>
        </w:rPr>
      </w:pPr>
      <w:r>
        <w:rPr>
          <w:sz w:val="28"/>
        </w:rPr>
        <w:t xml:space="preserve">Экспертная группа субъекта Российской Федерации проводит сверку наличия </w:t>
      </w:r>
      <w:r>
        <w:rPr>
          <w:sz w:val="28"/>
        </w:rPr>
        <w:t xml:space="preserve">(в</w:t>
      </w:r>
      <w:r>
        <w:rPr>
          <w:sz w:val="28"/>
        </w:rPr>
        <w:t xml:space="preserve"> соответствии с описью</w:t>
      </w:r>
      <w:r>
        <w:rPr>
          <w:sz w:val="28"/>
        </w:rPr>
        <w:t xml:space="preserve">) и соответствия документов, приложенных к заявке; наличия подтверждающих документов в специальной вкладке.</w:t>
      </w:r>
      <w:r>
        <w:rPr>
          <w:sz w:val="28"/>
        </w:rPr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При установлении факта подачи одним участником конкурса двух и более заявок на участие в конкурсе в отношении одной и той же номинации при условии, что поданные ранее заявки этим участником не отозваны, все заявки на участие в конкурсе такого участника, поданные в отношении данной номинации, не рассматриваются. </w:t>
      </w:r>
    </w:p>
    <w:p>
      <w:pPr>
        <w:pStyle w:val="UserStyle_17"/>
        <w:numPr>
          <w:numId w:val="0"/>
          <w:ilvl w:val="0"/>
        </w:numPr>
        <w:ind w:firstLine="709"/>
        <w:rPr>
          <w:sz w:val="28"/>
        </w:rPr>
      </w:pPr>
      <w:r>
        <w:rPr>
          <w:sz w:val="28"/>
        </w:rPr>
        <w:t xml:space="preserve">В случае несоответствия номинации, </w:t>
      </w:r>
      <w:r>
        <w:rPr>
          <w:sz w:val="28"/>
        </w:rPr>
        <w:t xml:space="preserve">указанной в</w:t>
      </w:r>
      <w:r>
        <w:rPr>
          <w:sz w:val="28"/>
        </w:rPr>
        <w:t xml:space="preserve"> заявке</w:t>
      </w:r>
      <w:r>
        <w:rPr>
          <w:sz w:val="28"/>
        </w:rPr>
        <w:t xml:space="preserve">, содержанию заявки на участие в конкурсе, такая заявка не рассматривается. 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t xml:space="preserve">Если в заявке на участие в конкурсе представлены не все документы, предусмотренные настоящими методическими рекомендациями, то заявка не допускается к конкурсу.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Рассмотрение заявок на участие в конкурсе осуществляется по каждой номинации отдельно с использованием ПИК «Мониторинг».</w:t>
      </w:r>
    </w:p>
    <w:p>
      <w:pPr>
        <w:pStyle w:val="UserStyle_17"/>
        <w:numPr>
          <w:numId w:val="0"/>
          <w:ilvl w:val="0"/>
        </w:numPr>
        <w:ind w:firstLine="720"/>
        <w:rPr>
          <w:sz w:val="28"/>
        </w:rPr>
      </w:pPr>
      <w:r>
        <w:rPr>
          <w:sz w:val="28"/>
        </w:rPr>
        <w:t xml:space="preserve">Инструкция по работе члена экспертной рабочей группы в ПИК «Мониторинг» (роль – «Региональный эксперт») приведена в приложении 7.</w:t>
      </w:r>
    </w:p>
    <w:p>
      <w:pPr>
        <w:pStyle w:val="Normal"/>
        <w:tabs>
          <w:tab w:val="center" w:pos="5037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каждой номинации экспертная рабочая группа субъекта Российской Федерации определяет предварительный перечень участников конкурса, которые могут претендовать на призовые места (далее – претенденты на призовые места). По каждой номинации может быть определено не более 9 претендентов на призовые места.</w:t>
      </w:r>
    </w:p>
    <w:p>
      <w:pPr>
        <w:pStyle w:val="UserStyle_17"/>
        <w:numPr>
          <w:numId w:val="0"/>
          <w:ilvl w:val="0"/>
        </w:numPr>
        <w:ind w:firstLine="709"/>
        <w:rPr>
          <w:sz w:val="28"/>
        </w:rPr>
      </w:pPr>
      <w:r>
        <w:rPr>
          <w:sz w:val="28"/>
        </w:rPr>
        <w:t xml:space="preserve">Экспертная рабочая группа субъекта Российской Федерации ведет протокол рассмотрения заявок на участие в конкурсе (приложение 3), в котором указывается предварительный перечень претендентов на призовые места по каждой номинации.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Уполномоченный орган исполнительной власти субъекта Российской Федерации направляет претендентам на призовые места уведомления о включении участника в перечень претендентов на призовые места (приложение 4), в которых запрашиваются документы, подтверждающие достоверность представленных в заявке сведений.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Уполномоченный орган исполнительной власти субъекта Российской Федерации проводит анализ представленных претендентами на призовые места документов, подтверждающих достоверность представленных в заявке сведений, а также проверку достоверности балльных оценок, указанных в заявках претендентов на призовые места.</w:t>
      </w:r>
    </w:p>
    <w:p>
      <w:pPr>
        <w:pStyle w:val="UserStyle_17"/>
        <w:numPr>
          <w:numId w:val="0"/>
          <w:ilvl w:val="0"/>
        </w:numPr>
        <w:ind w:firstLine="720"/>
        <w:rPr>
          <w:sz w:val="28"/>
        </w:rPr>
      </w:pPr>
      <w:r>
        <w:rPr>
          <w:sz w:val="28"/>
        </w:rPr>
        <w:t xml:space="preserve">Если в ходе проверки уполномоченным органом исполнительной власти субъекта Российской Федерации в заявке претендента на призовые места выявлены ошибки при определении балльной оценки и при этом данные, представленные в заявке на участие в конкурсе, являются достоверными, то балльная оценка по решению экспертной рабочей группы может быть скорректирована с использованием ПИК «Мониторинг».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Уполномоченный орган исполнительной власти субъекта Российской Федерации запрашивает информацию о подтверждении достоверности сведений, указанных претендентами на призовые места в заявке на участие в конкурсе</w:t>
      </w:r>
      <w:r>
        <w:rPr>
          <w:sz w:val="28"/>
        </w:rPr>
        <w:t xml:space="preserve"> и прикрепляет в специальной вкладке «подтверждающие документы» сканы документов</w:t>
      </w:r>
      <w:r>
        <w:rPr>
          <w:sz w:val="28"/>
        </w:rPr>
        <w:t xml:space="preserve">:</w:t>
      </w:r>
    </w:p>
    <w:p>
      <w:pPr>
        <w:pStyle w:val="UserStyle_17"/>
        <w:numPr>
          <w:numId w:val="0"/>
          <w:ilvl w:val="0"/>
        </w:numPr>
        <w:ind w:firstLine="720"/>
        <w:rPr>
          <w:sz w:val="28"/>
        </w:rPr>
      </w:pPr>
      <w:r>
        <w:rPr>
          <w:sz w:val="28"/>
        </w:rPr>
        <w:t xml:space="preserve">в государственной инспекции труда – об отсутствии не устраненных нарушений трудового законодательства, в том числе просроченной задолженности по заработной плате и другим выплатам работникам, коллективного трудового спора в текущем году, а также случаев производственного травматизма со смертельным исходом в году, предшествующем году проведения конкурса;</w:t>
      </w:r>
    </w:p>
    <w:p>
      <w:pPr>
        <w:pStyle w:val="Normal"/>
        <w:tabs>
          <w:tab w:val="center" w:pos="5037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территориальном органе Федеральной миграционной службы – об отсутствии в настоящее время не устраненных нарушений миграционного законодательства в части привлечения иностранных работников;</w:t>
      </w:r>
    </w:p>
    <w:p>
      <w:pPr>
        <w:pStyle w:val="Normal"/>
        <w:tabs>
          <w:tab w:val="center" w:pos="5037" w:leader="none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органе</w:t>
      </w:r>
      <w:r>
        <w:rPr>
          <w:sz w:val="28"/>
          <w:szCs w:val="28"/>
        </w:rPr>
        <w:t xml:space="preserve"> государственной власти</w:t>
      </w:r>
      <w:r>
        <w:rPr>
          <w:sz w:val="28"/>
          <w:szCs w:val="28"/>
        </w:rPr>
        <w:t xml:space="preserve"> субъекта Российской Федерации, </w:t>
      </w:r>
      <w:r>
        <w:rPr>
          <w:sz w:val="28"/>
          <w:szCs w:val="28"/>
        </w:rPr>
        <w:t xml:space="preserve">осуществляющ</w:t>
      </w:r>
      <w:r>
        <w:rPr>
          <w:sz w:val="28"/>
          <w:szCs w:val="28"/>
        </w:rPr>
        <w:t xml:space="preserve">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государственный контроль (надзор) за приемом на работу инвалидов в пределах установленной квоты,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отсутствии в настоящее время нарушений в выполнении работодателем квоты для приема на работу инвалидов;</w:t>
      </w:r>
      <w:r>
        <w:rPr>
          <w:color w:val="000000"/>
          <w:sz w:val="28"/>
          <w:szCs w:val="28"/>
        </w:rPr>
      </w:r>
    </w:p>
    <w:p>
      <w:pPr>
        <w:pStyle w:val="Normal"/>
        <w:tabs>
          <w:tab w:val="center" w:pos="5037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межведомственного электронного взаимодействия (СМЭВ) в электронном виде - об отсутствии в настоящее время неисполненной обязанности по уплате налогов, сборов, пеней и налоговых санкций, подлежащих уплате в соответствии с законодательством Российской Федерации (при необходимости), об отсутствии в настоящее время неисполненной обязанности по уплате страховых взносов, подлежащих уплате в соответствии с законодательством Российской Федерации.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Результаты проверки достоверности сведений, указанных в заявках на участие в конкурсе претендентами на призовые места, рассматриваются на заседании экспертной рабочей группы субъекта Российской Федерации и заносятся в протокол оценки достоверности сведений, представленных в заявках на участие в конкурсе (приложение 5).</w:t>
      </w:r>
    </w:p>
    <w:p>
      <w:pPr>
        <w:pStyle w:val="UserStyle_17"/>
        <w:numPr>
          <w:numId w:val="0"/>
          <w:ilvl w:val="0"/>
        </w:numPr>
        <w:ind w:firstLine="720"/>
        <w:rPr>
          <w:sz w:val="28"/>
        </w:rPr>
      </w:pPr>
      <w:r>
        <w:rPr>
          <w:sz w:val="28"/>
        </w:rPr>
        <w:t xml:space="preserve">В случае выявления несоответствия сведений, указанных в заявке на участие в конкурсе, информации, представленной государственной инспекцией труда, территориальными органами Федеральной миграционной службы и Федеральной налоговой службы, территориальными органами Фонда социального страхования Российской Федерации и Пенсионного фонда Российской Федерации, такая заявка не рассматривается и отклоняется как несоответствующая критериям допуска.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Победителями регионального этапа конкурса по номинации признаются претенденты на призовые места, набравшие наибольшее количество баллов при условии положительных результатов проверки достоверности сведений, указанных в заявках на участие в конкурсе.</w:t>
      </w:r>
    </w:p>
    <w:p>
      <w:pPr>
        <w:pStyle w:val="179"/>
        <w:tabs>
          <w:tab w:val="left" w:pos="851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два и более претендента на первые места в номинации набрали одинаковое количество баллов, то победители конкурса в данной номинации определяются по результатам анализа показателей, с учетом корректировки балльной оценки, а также оценки экспертной рабочей группой субъекта Российской Федерации содержания пояснительной записки и информации о результатах хозяйственной деятельности, прилагаемых к заявке на участие в конкурсе (до 5 баллов).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В случае, если в региональном этапе конкурса участвовала только одна организация по номинации, утвержденной организационным комитетом, по решению субъекта Российской Федерации она также может быть номинирована для участия в федеральном этапе конкурса.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Номинирование победителей регионального этапа конкурса для участия в федеральном этапе конкурса осуществляется по представлению региональных трехсторонних комиссий.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федеральном этапе конкурса по каждой номинации может быть представлена только одна организация, занявшая первое место.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Победители региональных и отраслевых конкурсов, проводимых в субъектах Российской Федерации в соответствии с методическими материалами, утверждаемыми в субъектах Российской Федерации, могут быть номинированы для участия в конкурсе на федеральном уровне по представлению региональных трехсторонних комиссий по номинациям в порядке, определенном организационным комитетом, при условии соответствия критериям допуска.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Организация и проведение конкурса на федеральном уровне</w:t>
      </w: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Организационно-техническое обеспечение деятельности </w:t>
      </w:r>
      <w:r>
        <w:rPr>
          <w:sz w:val="28"/>
        </w:rPr>
        <w:t xml:space="preserve">экспертной группы по рассмотрению материалов участников конкурса, </w:t>
      </w:r>
      <w:r>
        <w:rPr>
          <w:sz w:val="28"/>
        </w:rPr>
        <w:t xml:space="preserve">О</w:t>
      </w:r>
      <w:r>
        <w:rPr>
          <w:sz w:val="28"/>
        </w:rPr>
        <w:t xml:space="preserve">рганизационного комитета и </w:t>
      </w:r>
      <w:r>
        <w:rPr>
          <w:sz w:val="28"/>
        </w:rPr>
        <w:t xml:space="preserve">РТК</w:t>
      </w:r>
      <w:r>
        <w:rPr>
          <w:sz w:val="28"/>
        </w:rPr>
        <w:t xml:space="preserve"> в части организации конкурса на федеральном уровне осуществляет Министерство труда и социальной защиты Российской Федерации.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Уполномоченный орган исполнительной власти субъекта Российской Федерации в срок, определенный организационным планом подготовки и проведения конкурса, </w:t>
      </w:r>
      <w:r>
        <w:rPr>
          <w:sz w:val="28"/>
        </w:rPr>
        <w:t xml:space="preserve">посредством межведомственной системы электронного документооборота </w:t>
      </w:r>
      <w:r>
        <w:rPr>
          <w:sz w:val="28"/>
        </w:rPr>
        <w:t xml:space="preserve">направляет в Минтруд России </w:t>
      </w:r>
      <w:r>
        <w:rPr>
          <w:sz w:val="28"/>
        </w:rPr>
        <w:t xml:space="preserve">письмо с выпиской </w:t>
      </w:r>
      <w:r>
        <w:rPr>
          <w:sz w:val="28"/>
        </w:rPr>
        <w:t xml:space="preserve">из протокола заседания региональной трехсторонней комиссии о </w:t>
      </w:r>
      <w:r>
        <w:rPr>
          <w:sz w:val="28"/>
        </w:rPr>
        <w:t xml:space="preserve">победителе </w:t>
      </w:r>
      <w:r>
        <w:rPr>
          <w:sz w:val="28"/>
        </w:rPr>
        <w:t xml:space="preserve">регионального этапа конкурса </w:t>
      </w:r>
      <w:r>
        <w:rPr>
          <w:sz w:val="28"/>
        </w:rPr>
        <w:t xml:space="preserve">по каждой номинации </w:t>
      </w:r>
      <w:r>
        <w:rPr>
          <w:sz w:val="28"/>
        </w:rPr>
        <w:t xml:space="preserve">и отчет об общем количестве заявок, поступивших в уполномоченный орган исполнительной власти субъекта Российской Федерации</w:t>
      </w:r>
      <w:r>
        <w:rPr>
          <w:sz w:val="28"/>
        </w:rPr>
        <w:t xml:space="preserve">,</w:t>
      </w:r>
      <w:r>
        <w:rPr>
          <w:sz w:val="28"/>
        </w:rPr>
        <w:t xml:space="preserve"> для участия в конкурсе</w:t>
      </w:r>
      <w:r>
        <w:rPr>
          <w:sz w:val="28"/>
        </w:rPr>
        <w:t xml:space="preserve">,</w:t>
      </w:r>
      <w:r>
        <w:rPr>
          <w:sz w:val="28"/>
        </w:rPr>
        <w:t xml:space="preserve"> (Образец файла для заполнения «сведения об участниках» в формате Excel прилагается), а также в ПИК «Мониторинг» </w:t>
      </w:r>
      <w:r>
        <w:rPr>
          <w:sz w:val="28"/>
        </w:rPr>
        <w:t xml:space="preserve">осуществляет направление </w:t>
      </w:r>
      <w:r>
        <w:rPr>
          <w:sz w:val="28"/>
        </w:rPr>
        <w:t xml:space="preserve">на федеральный этап </w:t>
      </w:r>
      <w:r>
        <w:rPr>
          <w:sz w:val="28"/>
        </w:rPr>
        <w:t xml:space="preserve">заявок победителей регионального </w:t>
      </w:r>
      <w:r>
        <w:rPr>
          <w:sz w:val="28"/>
        </w:rPr>
        <w:t xml:space="preserve">конкурса с приложением </w:t>
      </w:r>
      <w:r>
        <w:rPr>
          <w:sz w:val="28"/>
        </w:rPr>
        <w:t xml:space="preserve">п</w:t>
      </w:r>
      <w:r>
        <w:rPr>
          <w:sz w:val="28"/>
        </w:rPr>
        <w:t xml:space="preserve">ояснительных записок </w:t>
      </w:r>
      <w:r>
        <w:rPr>
          <w:sz w:val="28"/>
        </w:rPr>
        <w:t xml:space="preserve">и документов</w:t>
      </w:r>
      <w:r>
        <w:rPr>
          <w:sz w:val="28"/>
        </w:rPr>
        <w:t xml:space="preserve"> (с обозначением названия каждого документа)</w:t>
      </w:r>
      <w:r>
        <w:rPr>
          <w:sz w:val="28"/>
        </w:rPr>
        <w:t xml:space="preserve">, подтверждающих достоверность сведений, указанных в </w:t>
      </w:r>
      <w:r>
        <w:rPr>
          <w:sz w:val="28"/>
        </w:rPr>
        <w:t xml:space="preserve">данных заявках</w:t>
      </w:r>
      <w:r>
        <w:rPr>
          <w:sz w:val="28"/>
        </w:rPr>
        <w:t xml:space="preserve">. </w:t>
      </w:r>
    </w:p>
    <w:p>
      <w:pPr>
        <w:pStyle w:val="Normal"/>
        <w:numPr>
          <w:numId w:val="2"/>
          <w:ilvl w:val="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заявок участников конкурса, номинированных на федеральный этап конкурса, </w:t>
      </w:r>
      <w:r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подготовку предложений о победителях конкурса с использованием ПИК «Мониторинг» проводит Министерство труда и социальной защиты Российской Федерации в рамках </w:t>
      </w:r>
      <w:r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экспертной группы по рассмотрению материалов участников конкурса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участием федерального государственного бюджетного учреждения «Всероссийский научно-исследовательский институт» Министерства труда и социальной защиты Российской Федерации, а также общероссийских объединений работодателей и общероссийских объединений профсоюзов.</w:t>
      </w:r>
      <w:r>
        <w:rPr>
          <w:sz w:val="28"/>
          <w:szCs w:val="28"/>
        </w:rPr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Победителями в номинациях федерального этапа конкурса признаются победители по соответствующим номинациям регионального этапа конкурса, набравшие наибольшее количество баллов по Российской Федерации.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  <w:tab w:val="center" w:pos="5037" w:leader="none"/>
        </w:tabs>
        <w:ind w:left="0" w:firstLine="720"/>
        <w:rPr>
          <w:sz w:val="28"/>
        </w:rPr>
      </w:pPr>
      <w:r>
        <w:rPr>
          <w:sz w:val="28"/>
        </w:rPr>
        <w:t xml:space="preserve">В случае если по итогам федерального этапа конкурса организация претендует на призовые места в двух и более номинациях (одно из мест должно быть первым), такая организация признается победителем конкурса (без указания номинации) и награждается высшей наградой конкурса – «Гран-при».</w:t>
      </w:r>
    </w:p>
    <w:p>
      <w:pPr>
        <w:pStyle w:val="Normal"/>
        <w:tabs>
          <w:tab w:val="center" w:pos="5037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призовые места в номинациях конкурса, на которые претендовали организации, получившие «Гран-при», переходят к следующим организациям в соответствии с ранжированными по сумме баллов в заявках участников перечнями по соответствующим номинациям конкурса. Дальнейшее номинирование на «Гран-при» и ранжирование перечней не производится.</w:t>
      </w:r>
    </w:p>
    <w:p>
      <w:pPr>
        <w:pStyle w:val="Normal"/>
        <w:tabs>
          <w:tab w:val="center" w:pos="5037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  <w:tab/>
        <w:t xml:space="preserve">Кроме основных победителей и призеров по номинациям, по предложению экспертной группы и решению оргкомитета могут быть вручены специальные дипломы: </w:t>
      </w:r>
    </w:p>
    <w:p>
      <w:pPr>
        <w:pStyle w:val="Normal"/>
        <w:tabs>
          <w:tab w:val="center" w:pos="5037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  <w:tab/>
        <w:t xml:space="preserve">«За большой вклад в достижение высокой социальной эффективности» - организации, которая претендует на призовые места в двух и более номинациях (и ни одно из мест не было первым);</w:t>
      </w:r>
    </w:p>
    <w:p>
      <w:pPr>
        <w:pStyle w:val="Normal"/>
        <w:tabs>
          <w:tab w:val="center" w:pos="5037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  <w:tab/>
        <w:t xml:space="preserve">«За лучший опыт» - организации, которая по сумме баллов не выходит на призовые места, но имеет уни</w:t>
      </w:r>
      <w:r>
        <w:rPr>
          <w:sz w:val="28"/>
          <w:szCs w:val="28"/>
        </w:rPr>
        <w:t xml:space="preserve">кальный опыт в данной номинации;</w:t>
      </w:r>
      <w:r>
        <w:rPr>
          <w:sz w:val="28"/>
          <w:szCs w:val="28"/>
        </w:rPr>
      </w:r>
    </w:p>
    <w:p>
      <w:pPr>
        <w:pStyle w:val="UserStyle_17"/>
        <w:numPr>
          <w:numId w:val="0"/>
          <w:ilvl w:val="0"/>
        </w:numPr>
        <w:tabs>
          <w:tab w:val="left" w:pos="1134" w:leader="none"/>
        </w:tabs>
        <w:ind w:firstLine="709"/>
        <w:rPr>
          <w:sz w:val="28"/>
        </w:rPr>
      </w:pPr>
      <w:r>
        <w:rPr>
          <w:sz w:val="28"/>
        </w:rPr>
        <w:t xml:space="preserve">3) «За многолетнее призовое участие» - организации, которая участвует в конкурсе 5 лет и более и в течении 5 лет подряд занимает призовые места в различных номинациях.</w:t>
      </w:r>
      <w:r>
        <w:rPr>
          <w:sz w:val="28"/>
        </w:rPr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В случае, если два и более претендента на первые места в номинации, набрали одинаковое количество баллов, то победители конкурса в данной номинации определяются по результатам анализа показателей, с учетом корректировки на основе балльной оценки, а также оценки экспертной рабочей группой по рассмотрению материалов участников конкурса содержания пояснительной записки и информации о результатах хозяйственной деятельности, прилагаемых к заявке на участие в конкурсе (до 5 баллов). В случае выявления особенностей и (или) преимуществ претендента, которые не учтены в рамках принятых критериев, экспертная рабочая группа предлагает Организационному комитету рассмотреть их и при необходимости учесть путем добавления до 10 баллов к общей оценке.</w:t>
      </w:r>
    </w:p>
    <w:p>
      <w:pPr>
        <w:pStyle w:val="UserStyle_17"/>
        <w:numPr>
          <w:numId w:val="2"/>
          <w:ilvl w:val="0"/>
        </w:numPr>
        <w:tabs>
          <w:tab w:val="left" w:pos="1134" w:leader="none"/>
        </w:tabs>
        <w:ind w:left="0" w:firstLine="709"/>
        <w:rPr>
          <w:sz w:val="28"/>
        </w:rPr>
      </w:pPr>
      <w:r>
        <w:rPr>
          <w:sz w:val="28"/>
        </w:rPr>
        <w:t xml:space="preserve">Рассмотрение материалов о результатах регионального этапа конкурса и предложений о победителях федерального этапа конкурса по соответствующим номинациям, подготовленных Минтрудом России в рамках экспертной группы по рассмотрению материалов участников конкурса</w:t>
      </w:r>
      <w:r>
        <w:rPr>
          <w:sz w:val="28"/>
        </w:rPr>
        <w:t xml:space="preserve">,</w:t>
      </w:r>
      <w:r>
        <w:rPr>
          <w:sz w:val="28"/>
        </w:rPr>
        <w:t xml:space="preserve"> проводится поэтапно: </w:t>
      </w:r>
    </w:p>
    <w:p>
      <w:pPr>
        <w:pStyle w:val="UserStyle_17"/>
        <w:numPr>
          <w:numId w:val="0"/>
          <w:ilvl w:val="0"/>
        </w:numPr>
        <w:tabs>
          <w:tab w:val="left" w:pos="709" w:leader="none"/>
        </w:tabs>
        <w:rPr>
          <w:sz w:val="28"/>
        </w:rPr>
      </w:pPr>
      <w:r>
        <w:rPr>
          <w:sz w:val="28"/>
        </w:rPr>
        <w:tab/>
        <w:t xml:space="preserve">1 этап - на заседании организационного комитета с вынесением проекта решения о победителях конкурса для рассмотрения в Российской трехсторонней комиссии по регулированию социально-трудовых отношений</w:t>
      </w:r>
      <w:r>
        <w:rPr>
          <w:sz w:val="28"/>
        </w:rPr>
        <w:t xml:space="preserve">,</w:t>
      </w:r>
      <w:r>
        <w:rPr>
          <w:sz w:val="28"/>
        </w:rPr>
        <w:t xml:space="preserve"> с полномочием по результатам обсуждения вносить коррективы в материалы, представленные экспертной группой;</w:t>
      </w:r>
    </w:p>
    <w:p>
      <w:pPr>
        <w:pStyle w:val="UserStyle_17"/>
        <w:numPr>
          <w:numId w:val="0"/>
          <w:ilvl w:val="0"/>
        </w:numPr>
        <w:tabs>
          <w:tab w:val="left" w:pos="709" w:leader="none"/>
        </w:tabs>
        <w:rPr>
          <w:sz w:val="28"/>
        </w:rPr>
      </w:pPr>
      <w:r>
        <w:rPr>
          <w:sz w:val="28"/>
        </w:rPr>
        <w:tab/>
        <w:t xml:space="preserve">2 этап - в Российской трехсторонней комиссии по регулированию социально-трудовых отношений (в постоянно действующих рабочих группах и на заседании комиссии) с вынесением решения о</w:t>
      </w:r>
      <w:r>
        <w:rPr>
          <w:sz w:val="28"/>
        </w:rPr>
        <w:t xml:space="preserve">б одобрении</w:t>
      </w:r>
      <w:r>
        <w:rPr>
          <w:sz w:val="28"/>
        </w:rPr>
        <w:t xml:space="preserve"> </w:t>
      </w:r>
      <w:r>
        <w:rPr>
          <w:sz w:val="28"/>
        </w:rPr>
        <w:t xml:space="preserve">победителей и призеров </w:t>
      </w:r>
      <w:r>
        <w:rPr>
          <w:sz w:val="28"/>
        </w:rPr>
        <w:t xml:space="preserve">конкурса.</w:t>
      </w:r>
    </w:p>
    <w:p>
      <w:pPr>
        <w:pStyle w:val="UserStyle_17"/>
        <w:numPr>
          <w:numId w:val="0"/>
          <w:ilvl w:val="0"/>
        </w:numPr>
        <w:ind w:firstLine="709"/>
        <w:rPr>
          <w:sz w:val="28"/>
        </w:rPr>
      </w:pPr>
      <w:r>
        <w:rPr>
          <w:sz w:val="28"/>
        </w:rPr>
        <w:t xml:space="preserve">44.</w:t>
        <w:tab/>
        <w:t xml:space="preserve">Утверждение победителей и призеров конкурса и подведение его итогов осуществляет организационный комитет на основании решения о победителях конкурса Российской трехсторонней комиссии по регулированию социально-трудовых отношений.</w:t>
      </w:r>
    </w:p>
    <w:sectPr>
      <w:headerReference w:type="default" r:id="rId7"/>
      <w:headerReference w:type="first" r:id="rId8"/>
      <w:type w:val="nextPage"/>
      <w:pgSz w:w="11906" w:h="16838"/>
      <w:pgMar w:top="851" w:right="851" w:bottom="851" w:left="1134" w:header="454" w:footer="720" w:gutter="0"/>
      <w:pgNumType w:start="1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00603000000000000"/>
  </w:font>
  <w:font w:name="Calibri">
    <w:panose1 w:val="020F0502020204030204"/>
  </w:font>
  <w:font w:name="Verdana">
    <w:panose1 w:val="020B0606030504020204"/>
  </w:font>
  <w:font w:name="Lucida Sans">
    <w:panose1 w:val="020B0603030804020204"/>
  </w:font>
  <w:font w:name="Liberation Sans">
    <w:panose1 w:val="020B0604020202020204"/>
  </w:font>
  <w:font w:name="Segoe UI">
    <w:panose1 w:val="020B0503020203020204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1958" w:leader="none"/>
        </w:tabs>
        <w:ind w:left="1958" w:hanging="851"/>
      </w:pPr>
      <w:rPr>
        <w:b/>
        <w:bCs/>
        <w:i w:val="0"/>
        <w:iCs w:val="0"/>
        <w:caps w:val="0"/>
        <w:smallCaps w:val="0"/>
        <w: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958" w:leader="none"/>
        </w:tabs>
        <w:ind w:left="540" w:firstLine="567"/>
      </w:pPr>
      <w:rPr>
        <w:b w:val="0"/>
        <w:bCs w:val="0"/>
        <w:i w:val="0"/>
        <w:iCs w:val="0"/>
      </w:r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958" w:leader="none"/>
        </w:tabs>
        <w:ind w:left="540" w:firstLine="567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num" w:pos="1958" w:leader="none"/>
        </w:tabs>
        <w:ind w:left="540" w:firstLine="567"/>
      </w:pPr>
      <w:rPr>
        <w:b w:val="0"/>
        <w:bCs w:val="0"/>
        <w:i w:val="0"/>
        <w:iCs w:val="0"/>
        <w:color w:val="000000"/>
      </w:rPr>
    </w:lvl>
    <w:lvl w:ilvl="5">
      <w:start w:val="1"/>
      <w:numFmt w:val="lowerRoman"/>
      <w:suff w:val="tab"/>
      <w:lvlText w:val="%6)"/>
      <w:lvlJc w:val="left"/>
      <w:pPr>
        <w:pStyle w:val="Normal"/>
        <w:tabs>
          <w:tab w:val="num" w:pos="2525" w:leader="none"/>
        </w:tabs>
        <w:ind w:left="2525" w:hanging="567"/>
      </w:pPr>
    </w:lvl>
    <w:lvl w:ilvl="6">
      <w:start w:val="1"/>
      <w:numFmt w:val="decimal"/>
      <w:suff w:val="tab"/>
      <w:lvlText w:val="%5.%6.%7)"/>
      <w:lvlJc w:val="left"/>
      <w:pPr>
        <w:pStyle w:val="Normal"/>
        <w:tabs>
          <w:tab w:val="num" w:pos="3659" w:leader="none"/>
        </w:tabs>
        <w:ind w:left="3659" w:hanging="851"/>
      </w:pPr>
    </w:lvl>
    <w:lvl w:ilvl="7">
      <w:start w:val="1"/>
      <w:numFmt w:val="decimal"/>
      <w:suff w:val="tab"/>
      <w:lvlText w:val="%5.%6.%7.%8)"/>
      <w:lvlJc w:val="left"/>
      <w:pPr>
        <w:pStyle w:val="Normal"/>
        <w:tabs>
          <w:tab w:val="num" w:pos="3942" w:leader="none"/>
        </w:tabs>
        <w:ind w:left="3942" w:hanging="567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6660" w:leader="none"/>
        </w:tabs>
        <w:ind w:left="4860" w:hanging="144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-566" w:leader="none"/>
        </w:tabs>
        <w:ind w:left="1211" w:hanging="360"/>
      </w:pPr>
      <w:rPr>
        <w:sz w:val="28"/>
        <w:szCs w:val="28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840" w:leader="none"/>
        </w:tabs>
        <w:ind w:left="552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200" w:leader="none"/>
        </w:tabs>
        <w:ind w:left="624" w:hanging="504"/>
      </w:pPr>
      <w:rPr>
        <w:i w:val="0"/>
        <w:color w:val="000000"/>
      </w:r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520" w:leader="none"/>
        </w:tabs>
        <w:ind w:left="1728" w:hanging="648"/>
      </w:pPr>
    </w:lvl>
    <w:lvl w:ilvl="4">
      <w:start w:val="1"/>
      <w:numFmt w:val="bullet"/>
      <w:suff w:val="tab"/>
      <w:lvlText w:val="-"/>
      <w:lvlJc w:val="left"/>
      <w:pPr>
        <w:pStyle w:val="Normal"/>
        <w:tabs>
          <w:tab w:val="num" w:pos="2232" w:leader="none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3960" w:leader="none"/>
        </w:tabs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468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540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6120" w:leader="none"/>
        </w:tabs>
        <w:ind w:left="4320" w:hanging="1440"/>
      </w:pPr>
    </w:lvl>
  </w:abstractNum>
  <w:abstractNum w:abstractNumId="3">
    <w:multiLevelType w:val="hybridMultilevel"/>
    <w:lvl w:ilvl="0">
      <w:start w:val="45"/>
      <w:numFmt w:val="decimal"/>
      <w:suff w:val="tab"/>
      <w:lvlText w:val="%1."/>
      <w:lvlJc w:val="left"/>
      <w:pPr>
        <w:pStyle w:val="Normal"/>
        <w:ind w:left="1226" w:hanging="375"/>
      </w:pPr>
      <w:rPr>
        <w:sz w:val="28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jc w:val="right"/>
      <w:outlineLvl w:val="1"/>
    </w:pPr>
    <w:rPr>
      <w:b/>
      <w:bCs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2z0"/>
    <w:next w:val="UserStyle_0"/>
    <w:link w:val="Normal"/>
  </w:style>
  <w:style w:type="character" w:styleId="UserStyle_1">
    <w:name w:val="WW8Num2z2"/>
    <w:next w:val="UserStyle_1"/>
    <w:link w:val="Normal"/>
    <w:rPr>
      <w:i w:val="0"/>
      <w:color w:val="000000"/>
    </w:rPr>
  </w:style>
  <w:style w:type="character" w:styleId="UserStyle_2">
    <w:name w:val="WW8Num2z4"/>
    <w:next w:val="UserStyle_2"/>
    <w:link w:val="Normal"/>
    <w:rPr>
      <w:rFonts w:ascii="Times New Roman" w:hAnsi="Times New Roman" w:cs="Times New Roman"/>
    </w:rPr>
  </w:style>
  <w:style w:type="character" w:styleId="UserStyle_3">
    <w:name w:val="WW8Num3z0"/>
    <w:next w:val="UserStyle_3"/>
    <w:link w:val="Normal"/>
    <w:rPr>
      <w:rFonts w:cs="Times New Roman"/>
      <w:b/>
      <w:bCs w:val="0"/>
      <w:i w:val="0"/>
      <w:iCs w:val="0"/>
      <w:caps w:val="0"/>
      <w:smallCaps w:val="0"/>
      <w:strike w:val="0"/>
      <w:vanish w:val="0"/>
      <w:spacing w:val="0"/>
      <w:position w:val="0"/>
      <w:sz w:val="24"/>
      <w:u w:val="none"/>
      <w:vertAlign w:val="baseline"/>
    </w:rPr>
  </w:style>
  <w:style w:type="character" w:styleId="UserStyle_4">
    <w:name w:val="WW8Num3z1"/>
    <w:next w:val="UserStyle_4"/>
    <w:link w:val="Normal"/>
    <w:rPr>
      <w:b/>
      <w:bCs/>
      <w:i w:val="0"/>
      <w:iCs w:val="0"/>
      <w:caps w:val="0"/>
      <w:smallCaps w:val="0"/>
      <w:strike w:val="0"/>
      <w:vanish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styleId="UserStyle_5">
    <w:name w:val="WW8Num3z2"/>
    <w:next w:val="UserStyle_5"/>
    <w:link w:val="Normal"/>
    <w:rPr>
      <w:b w:val="0"/>
      <w:bCs w:val="0"/>
      <w:i w:val="0"/>
      <w:iCs w:val="0"/>
    </w:rPr>
  </w:style>
  <w:style w:type="character" w:styleId="UserStyle_6">
    <w:name w:val="WW8Num3z3"/>
    <w:next w:val="UserStyle_6"/>
    <w:link w:val="Normal"/>
    <w:rPr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styleId="UserStyle_7">
    <w:name w:val="WW8Num3z4"/>
    <w:next w:val="UserStyle_7"/>
    <w:link w:val="Normal"/>
    <w:rPr>
      <w:b w:val="0"/>
      <w:bCs w:val="0"/>
      <w:i w:val="0"/>
      <w:iCs w:val="0"/>
      <w:color w:val="000000"/>
    </w:rPr>
  </w:style>
  <w:style w:type="character" w:styleId="UserStyle_8">
    <w:name w:val="WW8Num3z5"/>
    <w:next w:val="UserStyle_8"/>
    <w:link w:val="Normal"/>
  </w:style>
  <w:style w:type="character" w:styleId="UserStyle_9">
    <w:name w:val="WW8Num4z0"/>
    <w:next w:val="UserStyle_9"/>
    <w:link w:val="Normal"/>
  </w:style>
  <w:style w:type="character" w:styleId="UserStyle_10">
    <w:name w:val="WW8Num5z0"/>
    <w:next w:val="UserStyle_10"/>
    <w:link w:val="Normal"/>
  </w:style>
  <w:style w:type="character" w:styleId="UserStyle_11">
    <w:name w:val="Основной шрифт абзаца1"/>
    <w:next w:val="UserStyle_11"/>
    <w:link w:val="Normal"/>
  </w:style>
  <w:style w:type="character" w:styleId="PageNumber">
    <w:name w:val="Номер страницы"/>
    <w:basedOn w:val="UserStyle_11"/>
    <w:next w:val="PageNumber"/>
    <w:link w:val="Normal"/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character" w:styleId="UserStyle_12">
    <w:name w:val="Верхний колонтитул Знак"/>
    <w:next w:val="UserStyle_12"/>
    <w:link w:val="Normal"/>
    <w:rPr>
      <w:sz w:val="24"/>
      <w:szCs w:val="24"/>
    </w:rPr>
  </w:style>
  <w:style w:type="character" w:styleId="UserStyle_13">
    <w:name w:val="Текст выноски Знак"/>
    <w:next w:val="UserStyle_13"/>
    <w:link w:val="Normal"/>
    <w:rPr>
      <w:rFonts w:ascii="Segoe UI" w:hAnsi="Segoe UI" w:cs="Segoe UI"/>
      <w:sz w:val="18"/>
      <w:szCs w:val="18"/>
    </w:rPr>
  </w:style>
  <w:style w:type="paragraph" w:styleId="Title">
    <w:name w:val="Заголовок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Lucida Sans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4">
    <w:name w:val="Указатель1"/>
    <w:basedOn w:val="Normal"/>
    <w:next w:val="UserStyle_14"/>
    <w:link w:val="Normal"/>
    <w:pPr>
      <w:suppressLineNumbers/>
    </w:pPr>
    <w:rPr>
      <w:rFonts w:cs="Lucida Sans"/>
      <w:lang w:val="en-US" w:eastAsia="en-US" w:bidi="en-US"/>
    </w:rPr>
  </w:style>
  <w:style w:type="paragraph" w:styleId="UserStyle_15">
    <w:name w:val=" Знак"/>
    <w:basedOn w:val="Normal"/>
    <w:next w:val="UserStyle_15"/>
    <w:link w:val="Normal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UserStyle_16">
    <w:name w:val="Колонтитул"/>
    <w:basedOn w:val="Normal"/>
    <w:next w:val="UserStyle_16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UserStyle_17">
    <w:name w:val="Пункт"/>
    <w:basedOn w:val="Normal"/>
    <w:next w:val="UserStyle_17"/>
    <w:link w:val="Normal"/>
    <w:pPr>
      <w:numPr>
        <w:numId w:val="3"/>
        <w:ilvl w:val="0"/>
      </w:numPr>
      <w:jc w:val="both"/>
    </w:pPr>
    <w:rPr>
      <w:szCs w:val="28"/>
    </w:rPr>
  </w:style>
  <w:style w:type="paragraph" w:styleId="UserStyle_18">
    <w:name w:val="Подпункт"/>
    <w:basedOn w:val="UserStyle_17"/>
    <w:next w:val="UserStyle_18"/>
    <w:link w:val="Normal"/>
    <w:pPr>
      <w:numPr>
        <w:numId w:val="3"/>
        <w:ilvl w:val="0"/>
      </w:numPr>
    </w:pPr>
  </w:style>
  <w:style w:type="paragraph" w:styleId="UserStyle_19">
    <w:name w:val=" Знак Знак Знак Знак Знак Знак Знак Знак1 Знак Знак Знак Знак Знак Знак Знак1"/>
    <w:basedOn w:val="Normal"/>
    <w:next w:val="UserStyle_19"/>
    <w:link w:val="Normal"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179">
    <w:name w:val="Абзац списка"/>
    <w:basedOn w:val="Normal"/>
    <w:next w:val="179"/>
    <w:link w:val="Normal"/>
    <w:qFormat/>
    <w:pPr>
      <w:spacing w:before="0" w:after="0"/>
      <w:ind w:left="720" w:right="0" w:firstLine="0"/>
      <w:contextualSpacing/>
    </w:pPr>
  </w:style>
  <w:style w:type="paragraph" w:styleId="UserStyle_20">
    <w:name w:val="*Titul1"/>
    <w:basedOn w:val="Normal"/>
    <w:next w:val="UserStyle_20"/>
    <w:link w:val="Normal"/>
    <w:pPr>
      <w:spacing w:before="60" w:after="60"/>
      <w:ind w:left="0" w:right="0" w:firstLine="357"/>
      <w:jc w:val="center"/>
    </w:pPr>
    <w:rPr>
      <w:b/>
      <w:sz w:val="40"/>
      <w:szCs w:val="28"/>
    </w:rPr>
  </w:style>
  <w:style w:type="paragraph" w:styleId="UserStyle_21">
    <w:name w:val="*Titul2"/>
    <w:basedOn w:val="Normal"/>
    <w:next w:val="UserStyle_20"/>
    <w:link w:val="Normal"/>
    <w:pPr>
      <w:spacing w:before="60" w:after="60"/>
      <w:ind w:left="0" w:right="0" w:firstLine="357"/>
      <w:jc w:val="center"/>
    </w:pPr>
    <w:rPr>
      <w:b/>
      <w:caps/>
      <w:sz w:val="36"/>
      <w:szCs w:val="36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280" w:after="280"/>
    </w:pPr>
  </w:style>
  <w:style w:type="paragraph" w:styleId="Acetate">
    <w:name w:val="Текст выноски"/>
    <w:basedOn w:val="Normal"/>
    <w:next w:val="Acetate"/>
    <w:link w:val="Normal"/>
    <w:rPr>
      <w:rFonts w:ascii="Segoe UI" w:hAnsi="Segoe UI" w:cs="Segoe UI"/>
      <w:sz w:val="18"/>
      <w:szCs w:val="18"/>
    </w:rPr>
  </w:style>
  <w:style w:type="paragraph" w:styleId="UserStyle_22">
    <w:name w:val="Содержимое таблицы"/>
    <w:basedOn w:val="Normal"/>
    <w:next w:val="UserStyle_22"/>
    <w:link w:val="Normal"/>
    <w:pPr>
      <w:widowControl w:val="off"/>
      <w:suppressLineNumbers/>
    </w:pPr>
  </w:style>
  <w:style w:type="paragraph" w:styleId="UserStyle_23">
    <w:name w:val="Заголовок таблицы"/>
    <w:basedOn w:val="UserStyle_22"/>
    <w:next w:val="UserStyle_23"/>
    <w:link w:val="Normal"/>
    <w:pPr>
      <w:suppressLineNumbers/>
      <w:jc w:val="center"/>
    </w:pPr>
    <w:rPr>
      <w:b/>
      <w:bCs/>
    </w:rPr>
  </w:style>
  <w:style w:type="paragraph" w:styleId="AnnotationText">
    <w:name w:val="Текст примечания"/>
    <w:basedOn w:val="Normal"/>
    <w:next w:val="AnnotationText"/>
    <w:link w:val="UserStyle_24"/>
    <w:uiPriority w:val="99"/>
    <w:semiHidden/>
    <w:unhideWhenUsed/>
    <w:rPr>
      <w:rFonts w:eastAsia="Calibri"/>
      <w:sz w:val="20"/>
      <w:szCs w:val="20"/>
      <w:lang w:eastAsia="ru-RU"/>
    </w:rPr>
  </w:style>
  <w:style w:type="character" w:styleId="UserStyle_24">
    <w:name w:val="Текст примечания Знак"/>
    <w:next w:val="UserStyle_24"/>
    <w:link w:val="AnnotationText"/>
    <w:uiPriority w:val="99"/>
    <w:semiHidden/>
    <w:rPr>
      <w:rFonts w:eastAsia="Calibri"/>
    </w:rPr>
  </w:style>
  <w:style w:type="character" w:styleId="AnnotationReference">
    <w:name w:val="Знак примечания"/>
    <w:next w:val="AnnotationReference"/>
    <w:link w:val="Normal"/>
    <w:uiPriority w:val="99"/>
    <w:semiHidden/>
    <w:unhideWhenUsed/>
    <w:rPr>
      <w:sz w:val="16"/>
      <w:szCs w:val="16"/>
    </w:rPr>
  </w:style>
  <w:style w:type="paragraph" w:styleId="AnnotationSubject">
    <w:name w:val="Тема примечания"/>
    <w:basedOn w:val="AnnotationText"/>
    <w:next w:val="AnnotationText"/>
    <w:link w:val="UserStyle_25"/>
    <w:uiPriority w:val="99"/>
    <w:semiHidden/>
    <w:unhideWhenUsed/>
    <w:rPr>
      <w:rFonts w:eastAsia="Times New Roman"/>
      <w:b/>
      <w:bCs/>
      <w:lang w:eastAsia="zh-CN"/>
    </w:rPr>
  </w:style>
  <w:style w:type="character" w:styleId="UserStyle_25">
    <w:name w:val="Тема примечания Знак"/>
    <w:next w:val="UserStyle_25"/>
    <w:link w:val="AnnotationSubject"/>
    <w:uiPriority w:val="99"/>
    <w:semiHidden/>
    <w:rPr>
      <w:rFonts w:eastAsia="Calibri"/>
      <w:b/>
      <w:bCs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haracters>24267</Characters>
  <CharactersWithSpaces>28468</CharactersWithSpaces>
  <DocSecurity>0</DocSecurity>
  <HyperlinksChanged>false</HyperlinksChanged>
  <Lines>202</Lines>
  <Pages>11</Pages>
  <Paragraphs>56</Paragraphs>
  <ScaleCrop>false</ScaleCrop>
  <SharedDoc>false</SharedDoc>
  <Template>Normal</Template>
  <Words>4257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KretovaDS</dc:creator>
  <cp:lastModifiedBy>yamaeva_os</cp:lastModifiedBy>
  <cp:revision>2</cp:revision>
  <dcterms:created xsi:type="dcterms:W3CDTF">2025-03-13T07:41:00Z</dcterms:created>
  <dcterms:modified xsi:type="dcterms:W3CDTF">2025-03-13T07:41:00Z</dcterms:modified>
  <cp:version>983040</cp:version>
</cp:coreProperties>
</file>